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3E1A2C6" w:rsidR="00841BCD" w:rsidRPr="0026361E"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_Hlk37257723"/>
      <w:bookmarkStart w:id="1" w:name="OLE_LINK5"/>
      <w:bookmarkStart w:id="2" w:name="OLE_LINK6"/>
      <w:r w:rsidRPr="0026361E">
        <w:rPr>
          <w:rFonts w:ascii="Arial" w:hAnsi="Arial" w:cs="Times New Roman"/>
          <w:b/>
          <w:bCs/>
          <w:sz w:val="24"/>
          <w:szCs w:val="20"/>
          <w:lang w:val="en-GB"/>
        </w:rPr>
        <w:t>3GPP T</w:t>
      </w:r>
      <w:bookmarkStart w:id="3" w:name="_Ref452454252"/>
      <w:bookmarkEnd w:id="3"/>
      <w:r w:rsidRPr="0026361E">
        <w:rPr>
          <w:rFonts w:ascii="Arial" w:hAnsi="Arial" w:cs="Times New Roman"/>
          <w:b/>
          <w:bCs/>
          <w:sz w:val="24"/>
          <w:szCs w:val="20"/>
          <w:lang w:val="en-GB"/>
        </w:rPr>
        <w:t xml:space="preserve">SG-RAN </w:t>
      </w:r>
      <w:r w:rsidR="00BA724E" w:rsidRPr="0026361E">
        <w:rPr>
          <w:rFonts w:ascii="Arial" w:hAnsi="Arial" w:cs="Times New Roman"/>
          <w:b/>
          <w:sz w:val="24"/>
          <w:szCs w:val="20"/>
          <w:lang w:val="en-GB"/>
        </w:rPr>
        <w:t>WG4 Meeting</w:t>
      </w:r>
      <w:r w:rsidR="006F5245">
        <w:rPr>
          <w:rFonts w:ascii="Arial" w:hAnsi="Arial" w:cs="Times New Roman"/>
          <w:b/>
          <w:sz w:val="24"/>
          <w:szCs w:val="20"/>
          <w:lang w:val="en-GB"/>
        </w:rPr>
        <w:t xml:space="preserve"> </w:t>
      </w:r>
      <w:r w:rsidR="00BA724E" w:rsidRPr="0026361E">
        <w:rPr>
          <w:rFonts w:ascii="Arial" w:hAnsi="Arial" w:cs="Times New Roman"/>
          <w:b/>
          <w:sz w:val="24"/>
          <w:szCs w:val="20"/>
          <w:lang w:val="en-GB"/>
        </w:rPr>
        <w:t>#</w:t>
      </w:r>
      <w:r w:rsidR="006F5245">
        <w:rPr>
          <w:rFonts w:ascii="Arial" w:hAnsi="Arial" w:cs="Times New Roman"/>
          <w:b/>
          <w:sz w:val="24"/>
          <w:szCs w:val="20"/>
          <w:lang w:val="en-GB"/>
        </w:rPr>
        <w:t xml:space="preserve"> </w:t>
      </w:r>
      <w:r w:rsidR="00DD555A" w:rsidRPr="0026361E">
        <w:rPr>
          <w:rFonts w:ascii="Arial" w:hAnsi="Arial" w:cs="Times New Roman"/>
          <w:b/>
          <w:sz w:val="24"/>
          <w:szCs w:val="20"/>
          <w:lang w:val="en-GB"/>
        </w:rPr>
        <w:t>9</w:t>
      </w:r>
      <w:r w:rsidR="00836D14">
        <w:rPr>
          <w:rFonts w:ascii="Arial" w:hAnsi="Arial" w:cs="Times New Roman"/>
          <w:b/>
          <w:sz w:val="24"/>
          <w:szCs w:val="20"/>
          <w:lang w:val="en-GB"/>
        </w:rPr>
        <w:t>7</w:t>
      </w:r>
      <w:r w:rsidR="00844CD1">
        <w:rPr>
          <w:rFonts w:ascii="Arial" w:hAnsi="Arial" w:cs="Times New Roman"/>
          <w:b/>
          <w:sz w:val="24"/>
          <w:szCs w:val="20"/>
          <w:lang w:val="en-GB"/>
        </w:rPr>
        <w:t>-e</w:t>
      </w:r>
      <w:bookmarkEnd w:id="0"/>
      <w:r w:rsidRPr="0026361E">
        <w:rPr>
          <w:rFonts w:ascii="Arial" w:hAnsi="Arial" w:cs="Times New Roman"/>
          <w:b/>
          <w:sz w:val="24"/>
          <w:szCs w:val="20"/>
          <w:lang w:val="en-GB"/>
        </w:rPr>
        <w:t xml:space="preserve">                </w:t>
      </w:r>
      <w:r w:rsidRPr="0026361E">
        <w:rPr>
          <w:rFonts w:ascii="Arial" w:hAnsi="Arial" w:cs="Times New Roman"/>
          <w:b/>
          <w:bCs/>
          <w:sz w:val="24"/>
          <w:szCs w:val="20"/>
          <w:lang w:val="en-GB"/>
        </w:rPr>
        <w:tab/>
      </w:r>
      <w:r w:rsidR="001A1607" w:rsidRPr="001A1607">
        <w:rPr>
          <w:rFonts w:ascii="Arial" w:hAnsi="Arial" w:cs="Times New Roman"/>
          <w:b/>
          <w:bCs/>
          <w:sz w:val="24"/>
          <w:szCs w:val="20"/>
          <w:lang w:val="en-GB" w:eastAsia="ja-JP"/>
        </w:rPr>
        <w:t>R4-2015391</w:t>
      </w:r>
    </w:p>
    <w:p w14:paraId="3DEDC117" w14:textId="667CB514" w:rsidR="00841BCD" w:rsidRPr="001A1607" w:rsidRDefault="00844CD1"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bookmarkStart w:id="4" w:name="_Hlk37257740"/>
      <w:bookmarkStart w:id="5" w:name="_GoBack"/>
      <w:bookmarkEnd w:id="5"/>
      <w:r w:rsidRPr="001A1607">
        <w:rPr>
          <w:rFonts w:ascii="Arial" w:hAnsi="Arial" w:cs="Times New Roman"/>
          <w:b/>
          <w:sz w:val="24"/>
          <w:szCs w:val="20"/>
          <w:lang w:val="en-GB"/>
        </w:rPr>
        <w:t>Electronic Meeting</w:t>
      </w:r>
      <w:r w:rsidR="00176671" w:rsidRPr="001A1607">
        <w:rPr>
          <w:rFonts w:ascii="Arial" w:hAnsi="Arial" w:cs="Times New Roman"/>
          <w:b/>
          <w:sz w:val="24"/>
          <w:szCs w:val="20"/>
          <w:lang w:val="en-GB"/>
        </w:rPr>
        <w:t xml:space="preserve">, </w:t>
      </w:r>
      <w:bookmarkEnd w:id="4"/>
      <w:r w:rsidR="00D719F1" w:rsidRPr="001A1607">
        <w:rPr>
          <w:rFonts w:ascii="Arial" w:hAnsi="Arial" w:cs="Times New Roman"/>
          <w:b/>
          <w:bCs/>
          <w:sz w:val="24"/>
          <w:szCs w:val="24"/>
          <w:lang w:val="en-GB"/>
        </w:rPr>
        <w:t>02</w:t>
      </w:r>
      <w:r w:rsidR="00491F74" w:rsidRPr="001A1607">
        <w:rPr>
          <w:rFonts w:ascii="Arial" w:hAnsi="Arial" w:cs="Times New Roman"/>
          <w:b/>
          <w:bCs/>
          <w:sz w:val="24"/>
          <w:szCs w:val="24"/>
          <w:lang w:val="en-GB"/>
        </w:rPr>
        <w:t xml:space="preserve"> – </w:t>
      </w:r>
      <w:r w:rsidR="00D719F1" w:rsidRPr="001A1607">
        <w:rPr>
          <w:rFonts w:ascii="Arial" w:hAnsi="Arial" w:cs="Times New Roman"/>
          <w:b/>
          <w:bCs/>
          <w:sz w:val="24"/>
          <w:szCs w:val="24"/>
          <w:lang w:val="en-GB"/>
        </w:rPr>
        <w:t>13</w:t>
      </w:r>
      <w:r w:rsidR="00491F74" w:rsidRPr="001A1607">
        <w:rPr>
          <w:rFonts w:ascii="Arial" w:hAnsi="Arial" w:cs="Times New Roman"/>
          <w:b/>
          <w:bCs/>
          <w:sz w:val="24"/>
          <w:szCs w:val="24"/>
          <w:lang w:val="en-GB"/>
        </w:rPr>
        <w:t xml:space="preserve"> </w:t>
      </w:r>
      <w:proofErr w:type="gramStart"/>
      <w:r w:rsidR="00836D14" w:rsidRPr="001A1607">
        <w:rPr>
          <w:rFonts w:ascii="Arial" w:hAnsi="Arial" w:cs="Times New Roman"/>
          <w:b/>
          <w:bCs/>
          <w:sz w:val="24"/>
          <w:szCs w:val="24"/>
          <w:lang w:val="en-GB"/>
        </w:rPr>
        <w:t>November</w:t>
      </w:r>
      <w:r w:rsidR="00491F74" w:rsidRPr="001A1607">
        <w:rPr>
          <w:rFonts w:ascii="Arial" w:hAnsi="Arial" w:cs="Times New Roman"/>
          <w:b/>
          <w:bCs/>
          <w:sz w:val="24"/>
          <w:szCs w:val="24"/>
          <w:lang w:val="en-GB"/>
        </w:rPr>
        <w:t>,</w:t>
      </w:r>
      <w:proofErr w:type="gramEnd"/>
      <w:r w:rsidR="00491F74" w:rsidRPr="001A1607">
        <w:rPr>
          <w:rFonts w:ascii="Arial" w:hAnsi="Arial" w:cs="Times New Roman"/>
          <w:b/>
          <w:bCs/>
          <w:sz w:val="24"/>
          <w:szCs w:val="24"/>
          <w:lang w:val="en-GB"/>
        </w:rPr>
        <w:t xml:space="preserve"> </w:t>
      </w:r>
      <w:r w:rsidR="00491F74" w:rsidRPr="001A1607">
        <w:rPr>
          <w:rFonts w:ascii="Arial" w:hAnsi="Arial" w:cs="Times New Roman"/>
          <w:b/>
          <w:bCs/>
          <w:noProof/>
          <w:sz w:val="24"/>
          <w:szCs w:val="24"/>
          <w:lang w:eastAsia="zh-CN"/>
        </w:rPr>
        <w:t>2020</w:t>
      </w:r>
    </w:p>
    <w:bookmarkEnd w:id="1"/>
    <w:bookmarkEnd w:id="2"/>
    <w:p w14:paraId="6515563C" w14:textId="77777777" w:rsidR="00841BCD" w:rsidRPr="001A1607"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1A1607" w:rsidRDefault="00841BCD" w:rsidP="00841BCD">
      <w:pPr>
        <w:tabs>
          <w:tab w:val="left" w:pos="1985"/>
        </w:tabs>
        <w:ind w:left="1985" w:hanging="1985"/>
        <w:rPr>
          <w:rFonts w:ascii="Arial" w:eastAsia="Calibri" w:hAnsi="Arial" w:cs="Arial"/>
          <w:b/>
          <w:bCs/>
          <w:sz w:val="24"/>
          <w:lang w:val="en-GB"/>
        </w:rPr>
      </w:pPr>
      <w:r w:rsidRPr="001A1607">
        <w:rPr>
          <w:rFonts w:ascii="Arial" w:eastAsia="Calibri" w:hAnsi="Arial" w:cs="Arial"/>
          <w:b/>
          <w:bCs/>
          <w:sz w:val="24"/>
          <w:lang w:val="en-GB"/>
        </w:rPr>
        <w:t>Source:</w:t>
      </w:r>
      <w:r w:rsidRPr="001A1607">
        <w:rPr>
          <w:rFonts w:ascii="Arial" w:eastAsia="Calibri" w:hAnsi="Arial" w:cs="Arial"/>
          <w:b/>
          <w:bCs/>
          <w:sz w:val="24"/>
          <w:lang w:val="en-GB"/>
        </w:rPr>
        <w:tab/>
        <w:t xml:space="preserve">Nokia, </w:t>
      </w:r>
      <w:r w:rsidR="0043750A" w:rsidRPr="001A1607">
        <w:rPr>
          <w:rFonts w:ascii="Arial" w:eastAsia="Calibri" w:hAnsi="Arial" w:cs="Arial"/>
          <w:b/>
          <w:bCs/>
          <w:sz w:val="24"/>
          <w:lang w:val="en-GB"/>
        </w:rPr>
        <w:t>Nokia</w:t>
      </w:r>
      <w:r w:rsidRPr="001A1607">
        <w:rPr>
          <w:rFonts w:ascii="Arial" w:eastAsia="Calibri" w:hAnsi="Arial" w:cs="Arial"/>
          <w:b/>
          <w:bCs/>
          <w:sz w:val="24"/>
          <w:lang w:val="en-GB"/>
        </w:rPr>
        <w:t xml:space="preserve"> Shanghai Bell</w:t>
      </w:r>
      <w:r w:rsidRPr="001A1607" w:rsidDel="00636277">
        <w:rPr>
          <w:rFonts w:ascii="Arial" w:eastAsia="Calibri" w:hAnsi="Arial" w:cs="Arial"/>
          <w:b/>
          <w:bCs/>
          <w:sz w:val="24"/>
          <w:lang w:val="en-GB"/>
        </w:rPr>
        <w:t xml:space="preserve"> </w:t>
      </w:r>
    </w:p>
    <w:p w14:paraId="794F3E30" w14:textId="091C6F2D" w:rsidR="00841BCD" w:rsidRPr="001A1607" w:rsidRDefault="00841BCD" w:rsidP="7AA671D5">
      <w:pPr>
        <w:ind w:left="1985" w:hanging="1985"/>
        <w:rPr>
          <w:rFonts w:ascii="Arial" w:eastAsia="Calibri" w:hAnsi="Arial" w:cs="Arial"/>
          <w:b/>
          <w:bCs/>
          <w:sz w:val="24"/>
          <w:szCs w:val="24"/>
        </w:rPr>
      </w:pPr>
      <w:r w:rsidRPr="001A1607">
        <w:rPr>
          <w:rFonts w:ascii="Arial" w:eastAsia="Calibri" w:hAnsi="Arial" w:cs="Arial"/>
          <w:b/>
          <w:bCs/>
          <w:sz w:val="24"/>
          <w:szCs w:val="24"/>
        </w:rPr>
        <w:t>Title:</w:t>
      </w:r>
      <w:r w:rsidR="65155529" w:rsidRPr="001A1607">
        <w:rPr>
          <w:rFonts w:ascii="Arial" w:eastAsia="Calibri" w:hAnsi="Arial" w:cs="Arial"/>
          <w:b/>
          <w:bCs/>
          <w:sz w:val="24"/>
          <w:szCs w:val="24"/>
        </w:rPr>
        <w:t xml:space="preserve"> Discussion on </w:t>
      </w:r>
      <w:r w:rsidR="007B3826" w:rsidRPr="001A1607">
        <w:rPr>
          <w:rFonts w:ascii="Arial" w:eastAsia="Calibri" w:hAnsi="Arial" w:cs="Arial"/>
          <w:b/>
          <w:bCs/>
          <w:sz w:val="24"/>
          <w:szCs w:val="24"/>
        </w:rPr>
        <w:t xml:space="preserve">NR-U </w:t>
      </w:r>
      <w:r w:rsidR="65155529" w:rsidRPr="001A1607">
        <w:rPr>
          <w:rFonts w:ascii="Arial" w:eastAsia="Calibri" w:hAnsi="Arial" w:cs="Arial"/>
          <w:b/>
          <w:bCs/>
          <w:sz w:val="24"/>
          <w:szCs w:val="24"/>
        </w:rPr>
        <w:t xml:space="preserve">RRM performance </w:t>
      </w:r>
      <w:r w:rsidRPr="001A1607">
        <w:rPr>
          <w:rFonts w:ascii="Arial" w:eastAsia="Calibri" w:hAnsi="Arial" w:cs="Arial"/>
          <w:b/>
          <w:bCs/>
          <w:sz w:val="24"/>
        </w:rPr>
        <w:tab/>
      </w:r>
    </w:p>
    <w:p w14:paraId="53921647" w14:textId="1ACEBB34" w:rsidR="00841BCD" w:rsidRPr="00707E6D" w:rsidRDefault="00841BCD" w:rsidP="00841BCD">
      <w:pPr>
        <w:tabs>
          <w:tab w:val="left" w:pos="1985"/>
        </w:tabs>
        <w:spacing w:after="120" w:line="240" w:lineRule="auto"/>
        <w:rPr>
          <w:rFonts w:ascii="Arial" w:eastAsia="MS Mincho" w:hAnsi="Arial" w:cs="Arial"/>
          <w:b/>
          <w:bCs/>
          <w:sz w:val="24"/>
          <w:szCs w:val="20"/>
        </w:rPr>
      </w:pPr>
      <w:r w:rsidRPr="001A1607">
        <w:rPr>
          <w:rFonts w:ascii="Arial" w:eastAsia="MS Mincho" w:hAnsi="Arial" w:cs="Arial"/>
          <w:b/>
          <w:bCs/>
          <w:sz w:val="24"/>
          <w:szCs w:val="20"/>
        </w:rPr>
        <w:t>Agenda item:</w:t>
      </w:r>
      <w:r w:rsidRPr="001A1607">
        <w:rPr>
          <w:rFonts w:ascii="Arial" w:eastAsia="MS Mincho" w:hAnsi="Arial" w:cs="Arial"/>
          <w:b/>
          <w:bCs/>
          <w:sz w:val="24"/>
          <w:szCs w:val="20"/>
        </w:rPr>
        <w:tab/>
      </w:r>
      <w:r w:rsidR="00707E6D" w:rsidRPr="001A1607">
        <w:rPr>
          <w:rFonts w:ascii="Arial" w:eastAsia="MS Mincho" w:hAnsi="Arial" w:cs="Arial"/>
          <w:b/>
          <w:bCs/>
          <w:sz w:val="24"/>
          <w:szCs w:val="20"/>
        </w:rPr>
        <w:t>7.1.</w:t>
      </w:r>
      <w:r w:rsidR="001A1607" w:rsidRPr="001A1607">
        <w:rPr>
          <w:rFonts w:ascii="Arial" w:eastAsia="MS Mincho" w:hAnsi="Arial" w:cs="Arial"/>
          <w:b/>
          <w:bCs/>
          <w:sz w:val="24"/>
          <w:szCs w:val="20"/>
        </w:rPr>
        <w:t>7</w:t>
      </w:r>
      <w:r w:rsidR="00707E6D" w:rsidRPr="001A1607">
        <w:rPr>
          <w:rFonts w:ascii="Arial" w:eastAsia="MS Mincho" w:hAnsi="Arial" w:cs="Arial"/>
          <w:b/>
          <w:bCs/>
          <w:sz w:val="24"/>
          <w:szCs w:val="20"/>
        </w:rPr>
        <w:t>.1</w:t>
      </w:r>
    </w:p>
    <w:p w14:paraId="266D763D" w14:textId="77777777" w:rsidR="00841BCD" w:rsidRPr="009E2965" w:rsidRDefault="00841BCD" w:rsidP="00841BCD">
      <w:pPr>
        <w:tabs>
          <w:tab w:val="left" w:pos="1985"/>
        </w:tabs>
        <w:rPr>
          <w:rFonts w:ascii="Arial" w:eastAsia="Calibri" w:hAnsi="Arial" w:cs="Arial"/>
          <w:b/>
          <w:bCs/>
          <w:sz w:val="24"/>
          <w:lang w:val="pt-BR"/>
        </w:rPr>
      </w:pPr>
      <w:proofErr w:type="spellStart"/>
      <w:r w:rsidRPr="009E2965">
        <w:rPr>
          <w:rFonts w:ascii="Arial" w:eastAsia="Calibri" w:hAnsi="Arial" w:cs="Arial"/>
          <w:b/>
          <w:bCs/>
          <w:sz w:val="24"/>
          <w:lang w:val="pt-BR"/>
        </w:rPr>
        <w:t>Document</w:t>
      </w:r>
      <w:proofErr w:type="spellEnd"/>
      <w:r w:rsidRPr="009E2965">
        <w:rPr>
          <w:rFonts w:ascii="Arial" w:eastAsia="Calibri" w:hAnsi="Arial" w:cs="Arial"/>
          <w:b/>
          <w:bCs/>
          <w:sz w:val="24"/>
          <w:lang w:val="pt-BR"/>
        </w:rPr>
        <w:t xml:space="preserve"> for:</w:t>
      </w:r>
      <w:r w:rsidRPr="009E2965">
        <w:rPr>
          <w:rFonts w:ascii="Arial" w:eastAsia="Calibri" w:hAnsi="Arial" w:cs="Arial"/>
          <w:b/>
          <w:bCs/>
          <w:sz w:val="24"/>
          <w:lang w:val="pt-BR"/>
        </w:rPr>
        <w:tab/>
        <w:t>Discussion</w:t>
      </w:r>
    </w:p>
    <w:p w14:paraId="505DD0D6" w14:textId="64A4A0E7" w:rsidR="00841BCD" w:rsidRDefault="00841BCD" w:rsidP="00A37002">
      <w:pPr>
        <w:pStyle w:val="RAN4H1"/>
      </w:pPr>
      <w:r w:rsidRPr="0026361E">
        <w:t>Intro</w:t>
      </w:r>
      <w:r w:rsidRPr="0026361E">
        <w:rPr>
          <w:rStyle w:val="RAN4H1Char"/>
        </w:rPr>
        <w:t>ductio</w:t>
      </w:r>
      <w:r w:rsidRPr="0026361E">
        <w:t>n</w:t>
      </w:r>
    </w:p>
    <w:p w14:paraId="1D67741B" w14:textId="6C8D8041" w:rsidR="00836D14" w:rsidRDefault="00836D14" w:rsidP="00F5674C">
      <w:pPr>
        <w:rPr>
          <w:lang w:val="en-GB"/>
        </w:rPr>
      </w:pPr>
      <w:r>
        <w:rPr>
          <w:lang w:val="en-GB"/>
        </w:rPr>
        <w:t xml:space="preserve">In the NR-U </w:t>
      </w:r>
      <w:r w:rsidR="00635B1B">
        <w:rPr>
          <w:lang w:val="en-GB"/>
        </w:rPr>
        <w:t>work item description, the following objectives are listed</w:t>
      </w:r>
      <w:r w:rsidR="0068766A">
        <w:rPr>
          <w:lang w:val="en-GB"/>
        </w:rPr>
        <w:t xml:space="preserve"> </w:t>
      </w:r>
      <w:r w:rsidR="0068766A">
        <w:rPr>
          <w:lang w:val="en-GB"/>
        </w:rPr>
        <w:fldChar w:fldCharType="begin"/>
      </w:r>
      <w:r w:rsidR="0068766A">
        <w:rPr>
          <w:lang w:val="en-GB"/>
        </w:rPr>
        <w:instrText xml:space="preserve"> REF _Ref52184920 \r \h </w:instrText>
      </w:r>
      <w:r w:rsidR="0068766A">
        <w:rPr>
          <w:lang w:val="en-GB"/>
        </w:rPr>
      </w:r>
      <w:r w:rsidR="0068766A">
        <w:rPr>
          <w:lang w:val="en-GB"/>
        </w:rPr>
        <w:fldChar w:fldCharType="separate"/>
      </w:r>
      <w:r w:rsidR="0068766A">
        <w:rPr>
          <w:lang w:val="en-GB"/>
        </w:rPr>
        <w:t>[1]</w:t>
      </w:r>
      <w:r w:rsidR="0068766A">
        <w:rPr>
          <w:lang w:val="en-GB"/>
        </w:rPr>
        <w:fldChar w:fldCharType="end"/>
      </w:r>
      <w:r w:rsidR="00635B1B">
        <w:rPr>
          <w:lang w:val="en-GB"/>
        </w:rPr>
        <w:t>:</w:t>
      </w:r>
    </w:p>
    <w:tbl>
      <w:tblPr>
        <w:tblStyle w:val="TableGrid"/>
        <w:tblW w:w="0" w:type="auto"/>
        <w:tblLook w:val="04A0" w:firstRow="1" w:lastRow="0" w:firstColumn="1" w:lastColumn="0" w:noHBand="0" w:noVBand="1"/>
      </w:tblPr>
      <w:tblGrid>
        <w:gridCol w:w="9617"/>
      </w:tblGrid>
      <w:tr w:rsidR="00635B1B" w14:paraId="0FAC4B4D" w14:textId="77777777" w:rsidTr="00635B1B">
        <w:tc>
          <w:tcPr>
            <w:tcW w:w="9617" w:type="dxa"/>
          </w:tcPr>
          <w:p w14:paraId="77999379" w14:textId="77777777" w:rsidR="00635B1B" w:rsidRPr="004E3261" w:rsidRDefault="00635B1B" w:rsidP="00635B1B">
            <w:pPr>
              <w:pStyle w:val="Heading3"/>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9BB8869" w14:textId="77777777" w:rsidR="00635B1B" w:rsidRPr="00EE1AB4" w:rsidRDefault="00635B1B" w:rsidP="00635B1B">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A6CFCF0" w14:textId="77777777" w:rsidR="00635B1B" w:rsidRPr="001F50A9" w:rsidRDefault="00635B1B" w:rsidP="00635B1B">
            <w:pPr>
              <w:rPr>
                <w:bCs/>
                <w:lang w:eastAsia="ja-JP"/>
              </w:rPr>
            </w:pPr>
            <w:r w:rsidRPr="00A77B4B">
              <w:rPr>
                <w:bCs/>
              </w:rPr>
              <w:t xml:space="preserve">Specify the </w:t>
            </w:r>
            <w:r w:rsidRPr="001F50A9">
              <w:rPr>
                <w:rFonts w:hint="eastAsia"/>
                <w:bCs/>
                <w:lang w:eastAsia="ja-JP"/>
              </w:rPr>
              <w:t>following requirements [RAN4]</w:t>
            </w:r>
          </w:p>
          <w:p w14:paraId="12304008" w14:textId="77777777" w:rsidR="00635B1B" w:rsidRPr="001F50A9" w:rsidRDefault="00635B1B" w:rsidP="00635B1B">
            <w:pPr>
              <w:pStyle w:val="ListParagraph"/>
              <w:numPr>
                <w:ilvl w:val="1"/>
                <w:numId w:val="15"/>
              </w:numPr>
              <w:overflowPunct w:val="0"/>
              <w:autoSpaceDE w:val="0"/>
              <w:autoSpaceDN w:val="0"/>
              <w:adjustRightInd w:val="0"/>
              <w:spacing w:after="180" w:line="276" w:lineRule="auto"/>
              <w:ind w:leftChars="40" w:left="440"/>
              <w:textAlignment w:val="baseline"/>
              <w:rPr>
                <w:bCs/>
                <w:lang w:eastAsia="ja-JP"/>
              </w:rPr>
            </w:pPr>
            <w:r w:rsidRPr="001F50A9">
              <w:rPr>
                <w:bCs/>
                <w:lang w:eastAsia="ja-JP"/>
              </w:rPr>
              <w:t>Base station</w:t>
            </w:r>
            <w:r w:rsidRPr="001F50A9">
              <w:rPr>
                <w:rFonts w:hint="eastAsia"/>
                <w:bCs/>
                <w:lang w:eastAsia="ja-JP"/>
              </w:rPr>
              <w:t xml:space="preserve"> </w:t>
            </w:r>
            <w:r>
              <w:rPr>
                <w:bCs/>
                <w:lang w:eastAsia="ja-JP"/>
              </w:rPr>
              <w:t xml:space="preserve">demodulation </w:t>
            </w:r>
            <w:r w:rsidRPr="001F50A9">
              <w:rPr>
                <w:rFonts w:hint="eastAsia"/>
                <w:bCs/>
                <w:lang w:eastAsia="ja-JP"/>
              </w:rPr>
              <w:t>performance requirements</w:t>
            </w:r>
          </w:p>
          <w:p w14:paraId="60153943" w14:textId="77777777" w:rsidR="00635B1B" w:rsidRPr="001F50A9" w:rsidRDefault="00635B1B" w:rsidP="00635B1B">
            <w:pPr>
              <w:pStyle w:val="ListParagraph"/>
              <w:numPr>
                <w:ilvl w:val="1"/>
                <w:numId w:val="15"/>
              </w:numPr>
              <w:overflowPunct w:val="0"/>
              <w:autoSpaceDE w:val="0"/>
              <w:autoSpaceDN w:val="0"/>
              <w:adjustRightInd w:val="0"/>
              <w:spacing w:after="180" w:line="276" w:lineRule="auto"/>
              <w:ind w:leftChars="40" w:left="440"/>
              <w:textAlignment w:val="baseline"/>
              <w:rPr>
                <w:bCs/>
                <w:lang w:eastAsia="ja-JP"/>
              </w:rPr>
            </w:pPr>
            <w:r w:rsidRPr="001F50A9">
              <w:rPr>
                <w:bCs/>
                <w:lang w:eastAsia="ja-JP"/>
              </w:rPr>
              <w:t xml:space="preserve">UE </w:t>
            </w:r>
            <w:r>
              <w:rPr>
                <w:bCs/>
                <w:lang w:eastAsia="ja-JP"/>
              </w:rPr>
              <w:t xml:space="preserve">demodulation </w:t>
            </w:r>
            <w:r w:rsidRPr="001F50A9">
              <w:rPr>
                <w:rFonts w:hint="eastAsia"/>
                <w:bCs/>
                <w:lang w:eastAsia="ja-JP"/>
              </w:rPr>
              <w:t>performance requirements</w:t>
            </w:r>
          </w:p>
          <w:p w14:paraId="2942AEAF" w14:textId="77777777" w:rsidR="00635B1B" w:rsidRPr="001F50A9" w:rsidRDefault="00635B1B" w:rsidP="00635B1B">
            <w:pPr>
              <w:pStyle w:val="ListParagraph"/>
              <w:numPr>
                <w:ilvl w:val="1"/>
                <w:numId w:val="15"/>
              </w:numPr>
              <w:overflowPunct w:val="0"/>
              <w:autoSpaceDE w:val="0"/>
              <w:autoSpaceDN w:val="0"/>
              <w:adjustRightInd w:val="0"/>
              <w:spacing w:after="180" w:line="276" w:lineRule="auto"/>
              <w:ind w:leftChars="40" w:left="440"/>
              <w:textAlignment w:val="baseline"/>
              <w:rPr>
                <w:bCs/>
                <w:lang w:eastAsia="ja-JP"/>
              </w:rPr>
            </w:pPr>
            <w:r w:rsidRPr="001F50A9">
              <w:rPr>
                <w:rFonts w:hint="eastAsia"/>
                <w:bCs/>
                <w:lang w:eastAsia="ja-JP"/>
              </w:rPr>
              <w:t>Radio Resource Management performance requirements</w:t>
            </w:r>
            <w:r>
              <w:rPr>
                <w:bCs/>
                <w:lang w:eastAsia="ja-JP"/>
              </w:rPr>
              <w:t>, including RRM/RLM test cases</w:t>
            </w:r>
          </w:p>
          <w:p w14:paraId="76615950" w14:textId="477AAC94" w:rsidR="00635B1B" w:rsidRPr="00635B1B" w:rsidRDefault="00635B1B" w:rsidP="00635B1B">
            <w:pPr>
              <w:pStyle w:val="ListParagraph"/>
              <w:numPr>
                <w:ilvl w:val="1"/>
                <w:numId w:val="15"/>
              </w:numPr>
              <w:overflowPunct w:val="0"/>
              <w:autoSpaceDE w:val="0"/>
              <w:autoSpaceDN w:val="0"/>
              <w:adjustRightInd w:val="0"/>
              <w:spacing w:after="180" w:line="276" w:lineRule="auto"/>
              <w:ind w:leftChars="40" w:left="440"/>
              <w:textAlignment w:val="baseline"/>
              <w:rPr>
                <w:bCs/>
                <w:lang w:eastAsia="ja-JP"/>
              </w:rPr>
            </w:pPr>
            <w:r w:rsidRPr="001F50A9">
              <w:rPr>
                <w:bCs/>
                <w:lang w:eastAsia="ja-JP"/>
              </w:rPr>
              <w:t>Base station conformance testing</w:t>
            </w:r>
          </w:p>
        </w:tc>
      </w:tr>
    </w:tbl>
    <w:p w14:paraId="11BC7A77" w14:textId="483B9177" w:rsidR="00635B1B" w:rsidRDefault="00635B1B" w:rsidP="00F5674C">
      <w:pPr>
        <w:rPr>
          <w:lang w:val="en-GB"/>
        </w:rPr>
      </w:pPr>
    </w:p>
    <w:p w14:paraId="4470D464" w14:textId="7A6171F9" w:rsidR="00351916" w:rsidRDefault="007B3826" w:rsidP="0017314A">
      <w:pPr>
        <w:rPr>
          <w:lang w:val="en-GB"/>
        </w:rPr>
      </w:pPr>
      <w:r>
        <w:rPr>
          <w:lang w:val="en-GB"/>
        </w:rPr>
        <w:t>In this paper, we discuss mainly two topics:</w:t>
      </w:r>
    </w:p>
    <w:p w14:paraId="075E60F6" w14:textId="42C7F6D9" w:rsidR="007B3826" w:rsidRDefault="007B3826" w:rsidP="007B3826">
      <w:pPr>
        <w:pStyle w:val="ListParagraph"/>
        <w:numPr>
          <w:ilvl w:val="0"/>
          <w:numId w:val="19"/>
        </w:numPr>
        <w:rPr>
          <w:lang w:val="en-GB"/>
        </w:rPr>
      </w:pPr>
      <w:r>
        <w:rPr>
          <w:lang w:val="en-GB"/>
        </w:rPr>
        <w:t>LBT models for RRM test cases</w:t>
      </w:r>
    </w:p>
    <w:p w14:paraId="0C55BACD" w14:textId="60E0AD31" w:rsidR="007B3826" w:rsidRPr="007B3826" w:rsidRDefault="009C4FCB" w:rsidP="007B3826">
      <w:pPr>
        <w:pStyle w:val="ListParagraph"/>
        <w:numPr>
          <w:ilvl w:val="0"/>
          <w:numId w:val="19"/>
        </w:numPr>
        <w:rPr>
          <w:lang w:val="en-GB"/>
        </w:rPr>
      </w:pPr>
      <w:r>
        <w:rPr>
          <w:lang w:val="en-GB"/>
        </w:rPr>
        <w:t>RSSI &amp; Channel occupancy measurements</w:t>
      </w:r>
      <w:r w:rsidR="007B3826">
        <w:rPr>
          <w:lang w:val="en-GB"/>
        </w:rPr>
        <w:t>.</w:t>
      </w:r>
    </w:p>
    <w:p w14:paraId="07C678E1" w14:textId="5E05797D" w:rsidR="00EA6CC1" w:rsidRDefault="00EC7D2F" w:rsidP="00EA6CC1">
      <w:pPr>
        <w:pStyle w:val="RAN4H1"/>
      </w:pPr>
      <w:bookmarkStart w:id="6" w:name="_Hlk52871153"/>
      <w:bookmarkStart w:id="7" w:name="_Ref31793955"/>
      <w:r>
        <w:t>LBT Model for RRM tests</w:t>
      </w:r>
    </w:p>
    <w:bookmarkEnd w:id="6"/>
    <w:p w14:paraId="43EC102E" w14:textId="77777777" w:rsidR="00EC7D2F" w:rsidRDefault="00EC7D2F" w:rsidP="00EC7D2F">
      <w:pPr>
        <w:rPr>
          <w:lang w:val="en-GB"/>
        </w:rPr>
      </w:pPr>
      <w:r>
        <w:rPr>
          <w:lang w:val="en-GB"/>
        </w:rPr>
        <w:t xml:space="preserve">In document </w:t>
      </w:r>
      <w:r>
        <w:rPr>
          <w:lang w:val="en-GB"/>
        </w:rPr>
        <w:fldChar w:fldCharType="begin"/>
      </w:r>
      <w:r>
        <w:rPr>
          <w:lang w:val="en-GB"/>
        </w:rPr>
        <w:instrText xml:space="preserve"> REF _Ref49950143 \r \h </w:instrText>
      </w:r>
      <w:r>
        <w:rPr>
          <w:lang w:val="en-GB"/>
        </w:rPr>
      </w:r>
      <w:r>
        <w:rPr>
          <w:lang w:val="en-GB"/>
        </w:rPr>
        <w:fldChar w:fldCharType="separate"/>
      </w:r>
      <w:r>
        <w:rPr>
          <w:lang w:val="en-GB"/>
        </w:rPr>
        <w:t>[2]</w:t>
      </w:r>
      <w:r>
        <w:rPr>
          <w:lang w:val="en-GB"/>
        </w:rPr>
        <w:fldChar w:fldCharType="end"/>
      </w:r>
      <w:r>
        <w:rPr>
          <w:lang w:val="en-GB"/>
        </w:rPr>
        <w:t xml:space="preserve">, the outline specification structures for TS 38.133 and TS 36.133 were agreed. In general, the core requirements were modified to account for LBT failure during the procedures. </w:t>
      </w:r>
    </w:p>
    <w:p w14:paraId="52359A76" w14:textId="00B20386" w:rsidR="00EC7D2F" w:rsidRDefault="00EC7D2F" w:rsidP="00EC7D2F">
      <w:pPr>
        <w:pStyle w:val="RAN4observation0"/>
      </w:pPr>
      <w:r>
        <w:t xml:space="preserve">Core requirements were modified to </w:t>
      </w:r>
      <w:proofErr w:type="gramStart"/>
      <w:r>
        <w:t>take into account</w:t>
      </w:r>
      <w:proofErr w:type="gramEnd"/>
      <w:r>
        <w:t xml:space="preserve"> </w:t>
      </w:r>
      <w:r w:rsidR="007B3826">
        <w:t xml:space="preserve">DL or UL </w:t>
      </w:r>
      <w:r>
        <w:t>LBT failure during procedures.</w:t>
      </w:r>
    </w:p>
    <w:p w14:paraId="6D739454" w14:textId="02165941" w:rsidR="00EC7D2F" w:rsidRDefault="00EC7D2F" w:rsidP="00EC7D2F">
      <w:pPr>
        <w:pStyle w:val="RAN4observation0"/>
      </w:pPr>
      <w:r>
        <w:t xml:space="preserve">Additionally, new core requirements were created, such as: UL BWP switch due to consistent UL CCA failure </w:t>
      </w:r>
    </w:p>
    <w:p w14:paraId="1D1F3C04" w14:textId="15FF1986" w:rsidR="007B3826" w:rsidRDefault="007B3826" w:rsidP="007B3826">
      <w:pPr>
        <w:rPr>
          <w:lang w:val="en-GB"/>
        </w:rPr>
      </w:pPr>
      <w:r>
        <w:rPr>
          <w:lang w:val="en-GB"/>
        </w:rPr>
        <w:t>In our view, in order to correctly test the core requirements defined during the NR-U Rel-16 WI, RAN4 needs to define both a downlink LBT model and a methodology to test UL LBT in relevant test cases.</w:t>
      </w:r>
    </w:p>
    <w:p w14:paraId="4D6A9B97" w14:textId="3AEBBFF1" w:rsidR="0009442D" w:rsidRPr="0009442D" w:rsidRDefault="0009442D" w:rsidP="009C4FCB">
      <w:pPr>
        <w:pStyle w:val="RAN4H2"/>
        <w:rPr>
          <w:lang w:val="en-GB"/>
        </w:rPr>
      </w:pPr>
      <w:bookmarkStart w:id="8" w:name="_Hlk52871402"/>
      <w:r>
        <w:t>Downlink LBT model</w:t>
      </w:r>
      <w:bookmarkEnd w:id="8"/>
    </w:p>
    <w:p w14:paraId="031028FD" w14:textId="28655226" w:rsidR="009404D7" w:rsidRDefault="009404D7" w:rsidP="009404D7">
      <w:pPr>
        <w:rPr>
          <w:lang w:val="en-GB"/>
        </w:rPr>
      </w:pPr>
      <w:r>
        <w:rPr>
          <w:lang w:val="en-GB"/>
        </w:rPr>
        <w:t xml:space="preserve">Regarding </w:t>
      </w:r>
      <w:r w:rsidR="0009442D">
        <w:rPr>
          <w:lang w:val="en-GB"/>
        </w:rPr>
        <w:t xml:space="preserve">downlink </w:t>
      </w:r>
      <w:r>
        <w:rPr>
          <w:lang w:val="en-GB"/>
        </w:rPr>
        <w:t>LBT model for RRM tests, i</w:t>
      </w:r>
      <w:r w:rsidR="00EC7D2F">
        <w:rPr>
          <w:lang w:val="en-GB"/>
        </w:rPr>
        <w:t xml:space="preserve">n LTE-LAA, a simple LBT model was adopted in the test cases (Annex A.3.17 in </w:t>
      </w:r>
      <w:r>
        <w:rPr>
          <w:lang w:val="en-GB"/>
        </w:rPr>
        <w:fldChar w:fldCharType="begin"/>
      </w:r>
      <w:r>
        <w:rPr>
          <w:lang w:val="en-GB"/>
        </w:rPr>
        <w:instrText xml:space="preserve"> REF _Ref50720092 \r \h </w:instrText>
      </w:r>
      <w:r>
        <w:rPr>
          <w:lang w:val="en-GB"/>
        </w:rPr>
      </w:r>
      <w:r>
        <w:rPr>
          <w:lang w:val="en-GB"/>
        </w:rPr>
        <w:fldChar w:fldCharType="separate"/>
      </w:r>
      <w:r>
        <w:rPr>
          <w:lang w:val="en-GB"/>
        </w:rPr>
        <w:t>[5]</w:t>
      </w:r>
      <w:r>
        <w:rPr>
          <w:lang w:val="en-GB"/>
        </w:rPr>
        <w:fldChar w:fldCharType="end"/>
      </w:r>
      <w:r>
        <w:rPr>
          <w:lang w:val="en-GB"/>
        </w:rPr>
        <w:t>)</w:t>
      </w:r>
      <w:r w:rsidR="00EC7D2F">
        <w:rPr>
          <w:lang w:val="en-GB"/>
        </w:rPr>
        <w:t xml:space="preserve">. </w:t>
      </w:r>
      <w:r>
        <w:rPr>
          <w:lang w:val="en-GB"/>
        </w:rPr>
        <w:t xml:space="preserve">In this model, the test equipment would determine whether to transmit a discovery reference signal within a DMTC based on a probability P= 0.75. </w:t>
      </w:r>
      <w:r w:rsidRPr="009404D7">
        <w:rPr>
          <w:lang w:val="en-GB"/>
        </w:rPr>
        <w:t>If the test equipment determines that it shall transmit a DRS, then the timing of the DRS transmission within the DMTC window is randomly selected from the set of possible DRS transmission signal timings, such that there is an equal probability of any valid DRS timing.</w:t>
      </w:r>
    </w:p>
    <w:p w14:paraId="412898F6" w14:textId="3EB31B1D" w:rsidR="009404D7" w:rsidRDefault="009404D7" w:rsidP="009404D7">
      <w:pPr>
        <w:pStyle w:val="RAN4observation0"/>
      </w:pPr>
      <w:r>
        <w:t>In LTE-LAA a simple LBT model was defined for the RRM test cases, in which the transmission equipment would determine whether to transmit a discovery reference signal within a DMTC based on a probability P=0.75.</w:t>
      </w:r>
    </w:p>
    <w:p w14:paraId="6F33FC97" w14:textId="5AE5795B" w:rsidR="00EC7D2F" w:rsidRDefault="009404D7" w:rsidP="00EC7D2F">
      <w:pPr>
        <w:rPr>
          <w:lang w:val="en-GB"/>
        </w:rPr>
      </w:pPr>
      <w:r>
        <w:rPr>
          <w:lang w:val="en-GB"/>
        </w:rPr>
        <w:t xml:space="preserve">In NR-U, the concept of DRS transmission window is extended with the concept of candidate SSB positions. It was agreed that the core requirements are defined under the assumption that the UE monitors the first 2 successive </w:t>
      </w:r>
      <w:proofErr w:type="spellStart"/>
      <w:r>
        <w:rPr>
          <w:lang w:val="en-GB"/>
        </w:rPr>
        <w:t>QCL’ed</w:t>
      </w:r>
      <w:proofErr w:type="spellEnd"/>
      <w:r>
        <w:rPr>
          <w:lang w:val="en-GB"/>
        </w:rPr>
        <w:t xml:space="preserve"> positions. </w:t>
      </w:r>
      <w:r w:rsidR="00EC7D2F">
        <w:rPr>
          <w:lang w:val="en-GB"/>
        </w:rPr>
        <w:t xml:space="preserve">Additionally, in </w:t>
      </w:r>
      <w:r w:rsidR="00EC7D2F">
        <w:rPr>
          <w:lang w:val="en-GB"/>
        </w:rPr>
        <w:fldChar w:fldCharType="begin"/>
      </w:r>
      <w:r w:rsidR="00EC7D2F">
        <w:rPr>
          <w:lang w:val="en-GB"/>
        </w:rPr>
        <w:instrText xml:space="preserve"> REF _Ref49951011 \r \h </w:instrText>
      </w:r>
      <w:r w:rsidR="00EC7D2F">
        <w:rPr>
          <w:lang w:val="en-GB"/>
        </w:rPr>
      </w:r>
      <w:r w:rsidR="00EC7D2F">
        <w:rPr>
          <w:lang w:val="en-GB"/>
        </w:rPr>
        <w:fldChar w:fldCharType="separate"/>
      </w:r>
      <w:r w:rsidR="00EC7D2F">
        <w:rPr>
          <w:lang w:val="en-GB"/>
        </w:rPr>
        <w:t>[3]</w:t>
      </w:r>
      <w:r w:rsidR="00EC7D2F">
        <w:rPr>
          <w:lang w:val="en-GB"/>
        </w:rPr>
        <w:fldChar w:fldCharType="end"/>
      </w:r>
      <w:r w:rsidR="00EC7D2F">
        <w:rPr>
          <w:lang w:val="en-GB"/>
        </w:rPr>
        <w:t xml:space="preserve"> it was agreed that there would be no differentiation between load based equipment (LBE) </w:t>
      </w:r>
      <w:r w:rsidR="00EC7D2F">
        <w:rPr>
          <w:lang w:val="en-GB"/>
        </w:rPr>
        <w:lastRenderedPageBreak/>
        <w:t>and frame based equipment (FBE) in the core requirements, but the different aspects of each access method would be captured in the test cases.</w:t>
      </w:r>
    </w:p>
    <w:tbl>
      <w:tblPr>
        <w:tblStyle w:val="TableGrid"/>
        <w:tblW w:w="0" w:type="auto"/>
        <w:tblLook w:val="04A0" w:firstRow="1" w:lastRow="0" w:firstColumn="1" w:lastColumn="0" w:noHBand="0" w:noVBand="1"/>
      </w:tblPr>
      <w:tblGrid>
        <w:gridCol w:w="9617"/>
      </w:tblGrid>
      <w:tr w:rsidR="008E0D66" w14:paraId="5794DA07" w14:textId="77777777" w:rsidTr="009C4FCB">
        <w:tc>
          <w:tcPr>
            <w:tcW w:w="9617" w:type="dxa"/>
          </w:tcPr>
          <w:p w14:paraId="722D30EC" w14:textId="77777777" w:rsidR="008E0D66" w:rsidRPr="006F6E03" w:rsidRDefault="008E0D66" w:rsidP="009C4FCB">
            <w:pPr>
              <w:rPr>
                <w:highlight w:val="green"/>
              </w:rPr>
            </w:pPr>
            <w:r w:rsidRPr="006F6E03">
              <w:rPr>
                <w:highlight w:val="green"/>
              </w:rPr>
              <w:t>RAN4 96 e</w:t>
            </w:r>
          </w:p>
          <w:p w14:paraId="4ABABDFA" w14:textId="77777777" w:rsidR="008E0D66" w:rsidRPr="006F6E03" w:rsidRDefault="008E0D66" w:rsidP="009C4FCB">
            <w:r w:rsidRPr="006F6E03">
              <w:rPr>
                <w:highlight w:val="green"/>
              </w:rPr>
              <w:t>Agreements</w:t>
            </w:r>
          </w:p>
          <w:p w14:paraId="7916FD8D" w14:textId="77777777" w:rsidR="008E0D66" w:rsidRPr="006F6E03" w:rsidRDefault="008E0D66" w:rsidP="009C4FCB">
            <w:r w:rsidRPr="006F6E03">
              <w:t>•</w:t>
            </w:r>
            <w:r w:rsidRPr="006F6E03">
              <w:tab/>
              <w:t>No differentiation between UE in FBE and LBE modes in NR-U RRM Core requirements.</w:t>
            </w:r>
          </w:p>
          <w:p w14:paraId="020A1358" w14:textId="77777777" w:rsidR="008E0D66" w:rsidRPr="006F6E03" w:rsidRDefault="008E0D66" w:rsidP="009C4FCB">
            <w:r w:rsidRPr="006F6E03">
              <w:t>•</w:t>
            </w:r>
            <w:r w:rsidRPr="006F6E03">
              <w:tab/>
              <w:t>Different test case will be defined for UE in FBE and LBE modes in NR-U RRM Performance requirements.</w:t>
            </w:r>
          </w:p>
        </w:tc>
      </w:tr>
    </w:tbl>
    <w:p w14:paraId="306D74F9" w14:textId="77777777" w:rsidR="008E0D66" w:rsidRPr="008E0D66" w:rsidRDefault="008E0D66" w:rsidP="00EC7D2F"/>
    <w:p w14:paraId="3DE67244" w14:textId="6F2D5570" w:rsidR="009404D7" w:rsidRDefault="009404D7" w:rsidP="009404D7">
      <w:pPr>
        <w:pStyle w:val="RAN4observation0"/>
      </w:pPr>
      <w:r>
        <w:t>In NR-U, besides the definition of the LBT success within a</w:t>
      </w:r>
      <w:r w:rsidR="008E0D66">
        <w:t xml:space="preserve"> </w:t>
      </w:r>
      <w:r>
        <w:t xml:space="preserve">DRS transmission window, the candidate position in which a given SSB is transmitted also needs to be </w:t>
      </w:r>
      <w:proofErr w:type="gramStart"/>
      <w:r>
        <w:t>taken into account</w:t>
      </w:r>
      <w:proofErr w:type="gramEnd"/>
      <w:r w:rsidR="008E0D66">
        <w:t xml:space="preserve"> in the LBT model. Differentiation between LBE and FBE should be ensured in the test cases.</w:t>
      </w:r>
    </w:p>
    <w:p w14:paraId="05EB0D3D" w14:textId="7EECF1DD" w:rsidR="0068766A" w:rsidRPr="0068766A" w:rsidRDefault="0068766A" w:rsidP="009C4FCB">
      <w:pPr>
        <w:pStyle w:val="RAN4proposal"/>
        <w:rPr>
          <w:lang w:val="en-GB"/>
        </w:rPr>
      </w:pPr>
      <w:r w:rsidRPr="0068766A">
        <w:rPr>
          <w:lang w:val="en-GB"/>
        </w:rPr>
        <w:t xml:space="preserve">RAN4 to differentiate LBE and FBE </w:t>
      </w:r>
      <w:r w:rsidR="007B3826">
        <w:rPr>
          <w:lang w:val="en-GB"/>
        </w:rPr>
        <w:t>DL LBT models.</w:t>
      </w:r>
    </w:p>
    <w:p w14:paraId="1E0F60FE" w14:textId="4849731A" w:rsidR="0068766A" w:rsidRDefault="0068766A" w:rsidP="008E0D66">
      <w:pPr>
        <w:pStyle w:val="RAN4proposal"/>
        <w:rPr>
          <w:lang w:val="en-GB"/>
        </w:rPr>
      </w:pPr>
      <w:bookmarkStart w:id="9" w:name="_Hlk54276788"/>
      <w:r w:rsidRPr="361A9440">
        <w:rPr>
          <w:lang w:val="en-GB"/>
        </w:rPr>
        <w:t xml:space="preserve">For LBE test cases: </w:t>
      </w:r>
      <w:r w:rsidR="008E0D66" w:rsidRPr="361A9440">
        <w:rPr>
          <w:lang w:val="en-GB"/>
        </w:rPr>
        <w:t xml:space="preserve">RAN4 to adopt </w:t>
      </w:r>
      <w:r w:rsidR="0009442D" w:rsidRPr="361A9440">
        <w:rPr>
          <w:lang w:val="en-GB"/>
        </w:rPr>
        <w:t>the following DL LBT model:</w:t>
      </w:r>
      <w:r w:rsidR="008E0D66" w:rsidRPr="361A9440">
        <w:rPr>
          <w:lang w:val="en-GB"/>
        </w:rPr>
        <w:t xml:space="preserve"> 1) Define a probability of P=0.75 for the transmission of </w:t>
      </w:r>
      <w:r w:rsidR="0009442D" w:rsidRPr="361A9440">
        <w:rPr>
          <w:lang w:val="en-GB"/>
        </w:rPr>
        <w:t xml:space="preserve">the </w:t>
      </w:r>
      <w:r w:rsidR="008E0D66" w:rsidRPr="361A9440">
        <w:rPr>
          <w:lang w:val="en-GB"/>
        </w:rPr>
        <w:t>DRS</w:t>
      </w:r>
      <w:r w:rsidR="0009442D" w:rsidRPr="361A9440">
        <w:rPr>
          <w:lang w:val="en-GB"/>
        </w:rPr>
        <w:t xml:space="preserve"> in the first candidate position</w:t>
      </w:r>
      <w:r w:rsidR="008E0D66" w:rsidRPr="361A9440">
        <w:rPr>
          <w:lang w:val="en-GB"/>
        </w:rPr>
        <w:t xml:space="preserve">. 2) In case of </w:t>
      </w:r>
      <w:r w:rsidR="00882215" w:rsidRPr="361A9440">
        <w:rPr>
          <w:lang w:val="en-GB"/>
        </w:rPr>
        <w:t>LBT</w:t>
      </w:r>
      <w:r w:rsidR="0009442D" w:rsidRPr="361A9440">
        <w:rPr>
          <w:lang w:val="en-GB"/>
        </w:rPr>
        <w:t xml:space="preserve"> failure for transmission in the first candidate position, define a probability of P </w:t>
      </w:r>
      <w:r w:rsidR="0009442D">
        <w:t xml:space="preserve">= 0.75 for the transmission in the second candidate position for </w:t>
      </w:r>
      <w:r w:rsidR="008E0D66" w:rsidRPr="361A9440">
        <w:rPr>
          <w:lang w:val="en-GB"/>
        </w:rPr>
        <w:t xml:space="preserve">a given SSB index. </w:t>
      </w:r>
    </w:p>
    <w:p w14:paraId="3D0A29C9" w14:textId="178E9A9F" w:rsidR="00EC7D2F" w:rsidRDefault="008E0D66" w:rsidP="008E0D66">
      <w:pPr>
        <w:pStyle w:val="RAN4proposal"/>
        <w:rPr>
          <w:lang w:val="en-GB"/>
        </w:rPr>
      </w:pPr>
      <w:r>
        <w:rPr>
          <w:lang w:val="en-GB"/>
        </w:rPr>
        <w:t>For FBE test</w:t>
      </w:r>
      <w:r w:rsidR="0068766A">
        <w:rPr>
          <w:lang w:val="en-GB"/>
        </w:rPr>
        <w:t xml:space="preserve"> cases</w:t>
      </w:r>
      <w:r w:rsidR="00D719F1">
        <w:rPr>
          <w:lang w:val="en-GB"/>
        </w:rPr>
        <w:t>:</w:t>
      </w:r>
      <w:r>
        <w:rPr>
          <w:lang w:val="en-GB"/>
        </w:rPr>
        <w:t xml:space="preserve"> </w:t>
      </w:r>
      <w:r w:rsidR="0068766A">
        <w:rPr>
          <w:lang w:val="en-GB"/>
        </w:rPr>
        <w:t xml:space="preserve">RAN4 to define a </w:t>
      </w:r>
      <w:r w:rsidR="0009442D">
        <w:rPr>
          <w:lang w:val="en-GB"/>
        </w:rPr>
        <w:t xml:space="preserve">DL </w:t>
      </w:r>
      <w:r w:rsidR="0068766A">
        <w:rPr>
          <w:lang w:val="en-GB"/>
        </w:rPr>
        <w:t>LBT model that considers a probability of P = 0.75 for the transmission of each DRS</w:t>
      </w:r>
      <w:r>
        <w:rPr>
          <w:lang w:val="en-GB"/>
        </w:rPr>
        <w:t>.</w:t>
      </w:r>
      <w:r w:rsidR="0068766A">
        <w:rPr>
          <w:lang w:val="en-GB"/>
        </w:rPr>
        <w:t xml:space="preserve"> Only the first SSB candidate position</w:t>
      </w:r>
      <w:r w:rsidR="00BE7288">
        <w:rPr>
          <w:lang w:val="en-GB"/>
        </w:rPr>
        <w:t xml:space="preserve"> for a given SSB index</w:t>
      </w:r>
      <w:r w:rsidR="0068766A">
        <w:rPr>
          <w:lang w:val="en-GB"/>
        </w:rPr>
        <w:t xml:space="preserve"> shall be considered in these tests.</w:t>
      </w:r>
      <w:r>
        <w:rPr>
          <w:lang w:val="en-GB"/>
        </w:rPr>
        <w:t xml:space="preserve"> </w:t>
      </w:r>
    </w:p>
    <w:bookmarkEnd w:id="9"/>
    <w:p w14:paraId="27D05906" w14:textId="667AC8CC" w:rsidR="0009442D" w:rsidRPr="0009442D" w:rsidRDefault="0009442D" w:rsidP="0009442D">
      <w:pPr>
        <w:pStyle w:val="RAN4H2"/>
        <w:rPr>
          <w:lang w:val="en-GB"/>
        </w:rPr>
      </w:pPr>
      <w:r>
        <w:t>Uplink LBT model</w:t>
      </w:r>
    </w:p>
    <w:p w14:paraId="591142AC" w14:textId="462D538F" w:rsidR="009A479F" w:rsidRDefault="007B3826" w:rsidP="009A479F">
      <w:pPr>
        <w:rPr>
          <w:lang w:val="en-GB"/>
        </w:rPr>
      </w:pPr>
      <w:proofErr w:type="gramStart"/>
      <w:r>
        <w:rPr>
          <w:lang w:val="en-GB"/>
        </w:rPr>
        <w:t>A number of</w:t>
      </w:r>
      <w:proofErr w:type="gramEnd"/>
      <w:r>
        <w:rPr>
          <w:lang w:val="en-GB"/>
        </w:rPr>
        <w:t xml:space="preserve"> NR-U requirements consider the delay caused by UL LBT failures, as summarized in the table below: </w:t>
      </w:r>
    </w:p>
    <w:p w14:paraId="76427AE3" w14:textId="2A85C9FF" w:rsidR="002E600B" w:rsidRDefault="002E600B" w:rsidP="002E600B">
      <w:pPr>
        <w:pStyle w:val="Caption"/>
        <w:keepNext/>
      </w:pPr>
      <w:r>
        <w:t xml:space="preserve">Table </w:t>
      </w:r>
      <w:r w:rsidR="001A1607">
        <w:fldChar w:fldCharType="begin"/>
      </w:r>
      <w:r w:rsidR="001A1607">
        <w:instrText xml:space="preserve"> SEQ Table \* ARABIC </w:instrText>
      </w:r>
      <w:r w:rsidR="001A1607">
        <w:fldChar w:fldCharType="separate"/>
      </w:r>
      <w:r>
        <w:rPr>
          <w:noProof/>
        </w:rPr>
        <w:t>1</w:t>
      </w:r>
      <w:r w:rsidR="001A1607">
        <w:rPr>
          <w:noProof/>
        </w:rPr>
        <w:fldChar w:fldCharType="end"/>
      </w:r>
      <w:r>
        <w:t xml:space="preserve"> – Requirements in 38.133 which are impacted by UL LBT failure</w:t>
      </w:r>
    </w:p>
    <w:tbl>
      <w:tblPr>
        <w:tblStyle w:val="TableGrid"/>
        <w:tblW w:w="0" w:type="auto"/>
        <w:tblLook w:val="04A0" w:firstRow="1" w:lastRow="0" w:firstColumn="1" w:lastColumn="0" w:noHBand="0" w:noVBand="1"/>
      </w:tblPr>
      <w:tblGrid>
        <w:gridCol w:w="3964"/>
        <w:gridCol w:w="5653"/>
      </w:tblGrid>
      <w:tr w:rsidR="00502FC9" w14:paraId="5A1FE330" w14:textId="77777777" w:rsidTr="00BE1F41">
        <w:tc>
          <w:tcPr>
            <w:tcW w:w="3964" w:type="dxa"/>
          </w:tcPr>
          <w:p w14:paraId="2213E720" w14:textId="43891D8D" w:rsidR="00502FC9" w:rsidRDefault="00502FC9" w:rsidP="009A479F">
            <w:pPr>
              <w:rPr>
                <w:lang w:val="en-GB"/>
              </w:rPr>
            </w:pPr>
            <w:r>
              <w:rPr>
                <w:lang w:val="en-GB"/>
              </w:rPr>
              <w:t>Clause with UL LBT failure impact</w:t>
            </w:r>
          </w:p>
        </w:tc>
        <w:tc>
          <w:tcPr>
            <w:tcW w:w="5653" w:type="dxa"/>
          </w:tcPr>
          <w:p w14:paraId="70968958" w14:textId="31B58C65" w:rsidR="00502FC9" w:rsidRDefault="00502FC9" w:rsidP="009A479F">
            <w:pPr>
              <w:rPr>
                <w:lang w:val="en-GB"/>
              </w:rPr>
            </w:pPr>
            <w:r>
              <w:rPr>
                <w:lang w:val="en-GB"/>
              </w:rPr>
              <w:t>Comments</w:t>
            </w:r>
          </w:p>
        </w:tc>
      </w:tr>
      <w:tr w:rsidR="00502FC9" w14:paraId="0A569EB1" w14:textId="77777777" w:rsidTr="00BE1F41">
        <w:tc>
          <w:tcPr>
            <w:tcW w:w="3964" w:type="dxa"/>
          </w:tcPr>
          <w:p w14:paraId="145B89C6" w14:textId="2B33CC9B" w:rsidR="00502FC9" w:rsidRDefault="00502FC9" w:rsidP="009A479F">
            <w:pPr>
              <w:rPr>
                <w:lang w:val="en-GB"/>
              </w:rPr>
            </w:pPr>
            <w:r>
              <w:rPr>
                <w:lang w:val="en-GB"/>
              </w:rPr>
              <w:t>6.1B NR Handover</w:t>
            </w:r>
          </w:p>
        </w:tc>
        <w:tc>
          <w:tcPr>
            <w:tcW w:w="5653" w:type="dxa"/>
          </w:tcPr>
          <w:p w14:paraId="16C12289" w14:textId="5EED7D10" w:rsidR="00502FC9" w:rsidRDefault="00502FC9" w:rsidP="009A479F">
            <w:pPr>
              <w:rPr>
                <w:lang w:val="en-GB"/>
              </w:rPr>
            </w:pPr>
            <w:r>
              <w:rPr>
                <w:lang w:val="en-GB"/>
              </w:rPr>
              <w:t>UL LBT failure is considered in the time uncertainty for acquiring the first available PRACH occasion</w:t>
            </w:r>
          </w:p>
        </w:tc>
      </w:tr>
      <w:tr w:rsidR="00502FC9" w14:paraId="44F3D761" w14:textId="77777777" w:rsidTr="00BE1F41">
        <w:tc>
          <w:tcPr>
            <w:tcW w:w="3964" w:type="dxa"/>
          </w:tcPr>
          <w:p w14:paraId="38129344" w14:textId="635D674B" w:rsidR="00502FC9" w:rsidRDefault="00502FC9" w:rsidP="009A479F">
            <w:pPr>
              <w:rPr>
                <w:lang w:val="en-GB"/>
              </w:rPr>
            </w:pPr>
            <w:r>
              <w:rPr>
                <w:lang w:val="en-GB"/>
              </w:rPr>
              <w:t>6.2.1A RRC re-establishment with CCA delay requirement</w:t>
            </w:r>
          </w:p>
        </w:tc>
        <w:tc>
          <w:tcPr>
            <w:tcW w:w="5653" w:type="dxa"/>
          </w:tcPr>
          <w:p w14:paraId="3BA85C90" w14:textId="4F2BDD1D" w:rsidR="00502FC9" w:rsidRDefault="00502FC9" w:rsidP="009A479F">
            <w:pPr>
              <w:rPr>
                <w:lang w:val="en-GB"/>
              </w:rPr>
            </w:pPr>
            <w:r>
              <w:rPr>
                <w:lang w:val="en-GB"/>
              </w:rPr>
              <w:t>The number of consecutive SSB to PRACH occasions not available due to UL LBT failure is considered in the delay uncertainty</w:t>
            </w:r>
          </w:p>
        </w:tc>
      </w:tr>
      <w:tr w:rsidR="00502FC9" w14:paraId="597C5EDC" w14:textId="77777777" w:rsidTr="00BE1F41">
        <w:tc>
          <w:tcPr>
            <w:tcW w:w="3964" w:type="dxa"/>
          </w:tcPr>
          <w:p w14:paraId="599A80A0" w14:textId="1E914F1E" w:rsidR="00502FC9" w:rsidRDefault="00502FC9" w:rsidP="00502FC9">
            <w:pPr>
              <w:rPr>
                <w:lang w:val="en-GB"/>
              </w:rPr>
            </w:pPr>
            <w:r>
              <w:rPr>
                <w:lang w:val="en-GB"/>
              </w:rPr>
              <w:t>6.2.3.2.3 RRC connection release with redirection to NR carrier subject to CCA</w:t>
            </w:r>
          </w:p>
        </w:tc>
        <w:tc>
          <w:tcPr>
            <w:tcW w:w="5653" w:type="dxa"/>
          </w:tcPr>
          <w:p w14:paraId="1745528B" w14:textId="5624019A" w:rsidR="00502FC9" w:rsidRDefault="00502FC9" w:rsidP="00502FC9">
            <w:pPr>
              <w:rPr>
                <w:lang w:val="en-GB"/>
              </w:rPr>
            </w:pPr>
            <w:r>
              <w:rPr>
                <w:lang w:val="en-GB"/>
              </w:rPr>
              <w:t>The number of consecutive SSB to PRACH occasions not available due to UL LBT failure is considered in the delay uncertainty</w:t>
            </w:r>
          </w:p>
        </w:tc>
      </w:tr>
      <w:tr w:rsidR="00502FC9" w14:paraId="29264057" w14:textId="77777777" w:rsidTr="00BE1F41">
        <w:tc>
          <w:tcPr>
            <w:tcW w:w="3964" w:type="dxa"/>
          </w:tcPr>
          <w:p w14:paraId="134FF8E3" w14:textId="14B2DC2F" w:rsidR="00502FC9" w:rsidRDefault="00502FC9" w:rsidP="00502FC9">
            <w:pPr>
              <w:rPr>
                <w:lang w:val="en-GB"/>
              </w:rPr>
            </w:pPr>
            <w:r>
              <w:rPr>
                <w:lang w:val="en-GB"/>
              </w:rPr>
              <w:t xml:space="preserve">8.3A.2 </w:t>
            </w:r>
            <w:proofErr w:type="spellStart"/>
            <w:r>
              <w:rPr>
                <w:lang w:val="en-GB"/>
              </w:rPr>
              <w:t>SCell</w:t>
            </w:r>
            <w:proofErr w:type="spellEnd"/>
            <w:r>
              <w:rPr>
                <w:lang w:val="en-GB"/>
              </w:rPr>
              <w:t xml:space="preserve"> Activation and Deactivation in carriers with CCA</w:t>
            </w:r>
          </w:p>
        </w:tc>
        <w:tc>
          <w:tcPr>
            <w:tcW w:w="5653" w:type="dxa"/>
          </w:tcPr>
          <w:p w14:paraId="7E0BE391" w14:textId="018576DC" w:rsidR="00502FC9" w:rsidRDefault="00502FC9" w:rsidP="00502FC9">
            <w:pPr>
              <w:rPr>
                <w:lang w:val="en-GB"/>
              </w:rPr>
            </w:pPr>
            <w:r>
              <w:rPr>
                <w:lang w:val="en-GB"/>
              </w:rPr>
              <w:t xml:space="preserve">UL LBT failures are </w:t>
            </w:r>
            <w:r w:rsidR="00BE1F41">
              <w:rPr>
                <w:lang w:val="en-GB"/>
              </w:rPr>
              <w:t>considered</w:t>
            </w:r>
            <w:r>
              <w:rPr>
                <w:lang w:val="en-GB"/>
              </w:rPr>
              <w:t xml:space="preserve"> in T</w:t>
            </w:r>
            <w:r w:rsidRPr="00502FC9">
              <w:rPr>
                <w:vertAlign w:val="subscript"/>
                <w:lang w:val="en-GB"/>
              </w:rPr>
              <w:t>HARQ.</w:t>
            </w:r>
          </w:p>
        </w:tc>
      </w:tr>
      <w:tr w:rsidR="002E600B" w14:paraId="4A867E24" w14:textId="77777777" w:rsidTr="00BE1F41">
        <w:tc>
          <w:tcPr>
            <w:tcW w:w="3964" w:type="dxa"/>
          </w:tcPr>
          <w:p w14:paraId="2242DA03" w14:textId="4E6817E7" w:rsidR="002E600B" w:rsidRDefault="002E600B" w:rsidP="00502FC9">
            <w:pPr>
              <w:rPr>
                <w:lang w:val="en-GB"/>
              </w:rPr>
            </w:pPr>
            <w:r>
              <w:rPr>
                <w:lang w:val="en-GB"/>
              </w:rPr>
              <w:t>8.6.4 BWP switch delay on consistent UL LBT recovery</w:t>
            </w:r>
          </w:p>
        </w:tc>
        <w:tc>
          <w:tcPr>
            <w:tcW w:w="5653" w:type="dxa"/>
          </w:tcPr>
          <w:p w14:paraId="79B25C29" w14:textId="3CA5DCD3" w:rsidR="002E600B" w:rsidRDefault="002E600B" w:rsidP="00502FC9">
            <w:pPr>
              <w:rPr>
                <w:lang w:val="en-GB"/>
              </w:rPr>
            </w:pPr>
            <w:r>
              <w:rPr>
                <w:lang w:val="en-GB"/>
              </w:rPr>
              <w:t>The consistent UL LBT detection / recovery mechanism will trigger the active BWP switch.</w:t>
            </w:r>
          </w:p>
        </w:tc>
      </w:tr>
      <w:tr w:rsidR="00502FC9" w14:paraId="1FDF7422" w14:textId="77777777" w:rsidTr="00BE1F41">
        <w:tc>
          <w:tcPr>
            <w:tcW w:w="3964" w:type="dxa"/>
          </w:tcPr>
          <w:p w14:paraId="3B7F1D73" w14:textId="7DFE8D4B" w:rsidR="00502FC9" w:rsidRDefault="00502FC9" w:rsidP="00502FC9">
            <w:pPr>
              <w:rPr>
                <w:lang w:val="en-GB"/>
              </w:rPr>
            </w:pPr>
            <w:r>
              <w:rPr>
                <w:lang w:val="en-GB"/>
              </w:rPr>
              <w:t>8.10A Active TCI state switching delay with CCA</w:t>
            </w:r>
          </w:p>
        </w:tc>
        <w:tc>
          <w:tcPr>
            <w:tcW w:w="5653" w:type="dxa"/>
          </w:tcPr>
          <w:p w14:paraId="1699A86F" w14:textId="20F9D6BA" w:rsidR="00502FC9" w:rsidRDefault="00502FC9" w:rsidP="00502FC9">
            <w:pPr>
              <w:rPr>
                <w:lang w:val="en-GB"/>
              </w:rPr>
            </w:pPr>
            <w:r>
              <w:rPr>
                <w:lang w:val="en-GB"/>
              </w:rPr>
              <w:t xml:space="preserve">UL LBT failures are </w:t>
            </w:r>
            <w:r w:rsidR="00BE1F41">
              <w:rPr>
                <w:lang w:val="en-GB"/>
              </w:rPr>
              <w:t>considered</w:t>
            </w:r>
            <w:r>
              <w:rPr>
                <w:lang w:val="en-GB"/>
              </w:rPr>
              <w:t xml:space="preserve"> in T</w:t>
            </w:r>
            <w:r w:rsidRPr="00502FC9">
              <w:rPr>
                <w:vertAlign w:val="subscript"/>
                <w:lang w:val="en-GB"/>
              </w:rPr>
              <w:t>HARQ.</w:t>
            </w:r>
          </w:p>
        </w:tc>
      </w:tr>
      <w:tr w:rsidR="00502FC9" w14:paraId="399E9507" w14:textId="77777777" w:rsidTr="00BE1F41">
        <w:tc>
          <w:tcPr>
            <w:tcW w:w="3964" w:type="dxa"/>
          </w:tcPr>
          <w:p w14:paraId="5A76EC9B" w14:textId="30D963F2" w:rsidR="00502FC9" w:rsidRDefault="00502FC9" w:rsidP="00502FC9">
            <w:pPr>
              <w:rPr>
                <w:lang w:val="en-GB"/>
              </w:rPr>
            </w:pPr>
            <w:r>
              <w:rPr>
                <w:lang w:val="en-GB"/>
              </w:rPr>
              <w:t>9.2A NR Intra-frequency measurements with CCA</w:t>
            </w:r>
          </w:p>
        </w:tc>
        <w:tc>
          <w:tcPr>
            <w:tcW w:w="5653" w:type="dxa"/>
          </w:tcPr>
          <w:p w14:paraId="1F5FCF40" w14:textId="34AECE35" w:rsidR="00502FC9" w:rsidRDefault="00502FC9" w:rsidP="00502FC9">
            <w:pPr>
              <w:rPr>
                <w:lang w:val="en-GB"/>
              </w:rPr>
            </w:pPr>
            <w:r>
              <w:rPr>
                <w:lang w:val="en-GB"/>
              </w:rPr>
              <w:t xml:space="preserve">UL LBT failures are </w:t>
            </w:r>
            <w:r w:rsidR="00BE1F41">
              <w:rPr>
                <w:lang w:val="en-GB"/>
              </w:rPr>
              <w:t>considered</w:t>
            </w:r>
            <w:r>
              <w:rPr>
                <w:lang w:val="en-GB"/>
              </w:rPr>
              <w:t xml:space="preserve"> in the reporting delay</w:t>
            </w:r>
          </w:p>
        </w:tc>
      </w:tr>
      <w:tr w:rsidR="00502FC9" w14:paraId="6632B985" w14:textId="77777777" w:rsidTr="00BE1F41">
        <w:tc>
          <w:tcPr>
            <w:tcW w:w="3964" w:type="dxa"/>
          </w:tcPr>
          <w:p w14:paraId="6BA00B4B" w14:textId="10032F14" w:rsidR="00502FC9" w:rsidRDefault="00502FC9" w:rsidP="00502FC9">
            <w:pPr>
              <w:rPr>
                <w:lang w:val="en-GB"/>
              </w:rPr>
            </w:pPr>
            <w:r>
              <w:rPr>
                <w:lang w:val="en-GB"/>
              </w:rPr>
              <w:t>9.3A NR Inter-frequency measurements with CCA</w:t>
            </w:r>
          </w:p>
        </w:tc>
        <w:tc>
          <w:tcPr>
            <w:tcW w:w="5653" w:type="dxa"/>
          </w:tcPr>
          <w:p w14:paraId="75DE24B2" w14:textId="24F7A4B9" w:rsidR="00502FC9" w:rsidRDefault="00502FC9" w:rsidP="00502FC9">
            <w:pPr>
              <w:rPr>
                <w:lang w:val="en-GB"/>
              </w:rPr>
            </w:pPr>
            <w:r>
              <w:rPr>
                <w:lang w:val="en-GB"/>
              </w:rPr>
              <w:t xml:space="preserve">UL LBT failures are </w:t>
            </w:r>
            <w:r w:rsidR="00BE1F41">
              <w:rPr>
                <w:lang w:val="en-GB"/>
              </w:rPr>
              <w:t>considered</w:t>
            </w:r>
            <w:r>
              <w:rPr>
                <w:lang w:val="en-GB"/>
              </w:rPr>
              <w:t xml:space="preserve"> in the reporting delay</w:t>
            </w:r>
          </w:p>
        </w:tc>
      </w:tr>
    </w:tbl>
    <w:p w14:paraId="53EB62F3" w14:textId="42155A87" w:rsidR="007B3826" w:rsidRDefault="007B3826" w:rsidP="009A479F">
      <w:pPr>
        <w:rPr>
          <w:lang w:val="en-GB"/>
        </w:rPr>
      </w:pPr>
    </w:p>
    <w:p w14:paraId="1CB039A4" w14:textId="02297F10" w:rsidR="00BE1F41" w:rsidRDefault="00521D3D" w:rsidP="00BE1F41">
      <w:pPr>
        <w:pStyle w:val="RAN4observation0"/>
      </w:pPr>
      <w:r>
        <w:t>There</w:t>
      </w:r>
      <w:r w:rsidR="00BE1F41">
        <w:t xml:space="preserve"> are several requirements that depend on the UL LBT failure.</w:t>
      </w:r>
    </w:p>
    <w:p w14:paraId="483EB8A5" w14:textId="36816298" w:rsidR="002E600B" w:rsidRDefault="003E4D8E" w:rsidP="009A479F">
      <w:pPr>
        <w:rPr>
          <w:lang w:val="en-GB"/>
        </w:rPr>
      </w:pPr>
      <w:r>
        <w:rPr>
          <w:lang w:val="en-GB"/>
        </w:rPr>
        <w:t xml:space="preserve">On the contrary of DL LBT, UL </w:t>
      </w:r>
      <w:r w:rsidR="00BE1F41">
        <w:rPr>
          <w:lang w:val="en-GB"/>
        </w:rPr>
        <w:t xml:space="preserve">LBT failures cannot be modelled by defining an LBT model at the UE. It is our view that the only way to emulate the UL LBT failure behaviour is for the test equipment to create a sufficiently high interference precisely </w:t>
      </w:r>
      <w:proofErr w:type="gramStart"/>
      <w:r w:rsidR="00BE1F41">
        <w:rPr>
          <w:lang w:val="en-GB"/>
        </w:rPr>
        <w:t>at the moment</w:t>
      </w:r>
      <w:proofErr w:type="gramEnd"/>
      <w:r w:rsidR="00BE1F41">
        <w:rPr>
          <w:lang w:val="en-GB"/>
        </w:rPr>
        <w:t xml:space="preserve"> the UE is allocated for transmissions. The objective is not to test whether the UE </w:t>
      </w:r>
      <w:proofErr w:type="gramStart"/>
      <w:r w:rsidR="00BE1F41">
        <w:rPr>
          <w:lang w:val="en-GB"/>
        </w:rPr>
        <w:t>is capable of doing</w:t>
      </w:r>
      <w:proofErr w:type="gramEnd"/>
      <w:r w:rsidR="00BE1F41">
        <w:rPr>
          <w:lang w:val="en-GB"/>
        </w:rPr>
        <w:t xml:space="preserve"> the UL LBT, but rather to test the requirements under the LBT failure.</w:t>
      </w:r>
    </w:p>
    <w:p w14:paraId="7F62A15E" w14:textId="243E3504" w:rsidR="00BE1F41" w:rsidRDefault="00BE1F41" w:rsidP="00BE1F41">
      <w:pPr>
        <w:pStyle w:val="RAN4observation0"/>
      </w:pPr>
      <w:r>
        <w:t>The only way to test UL LBT failure at the UE, is by the test equipment injecting a sufficiently high interference precisely at the time the UE should transmit.</w:t>
      </w:r>
    </w:p>
    <w:p w14:paraId="2B73AA9A" w14:textId="64059AA7" w:rsidR="00BE1F41" w:rsidRPr="00657754" w:rsidRDefault="00BE1F41" w:rsidP="009C4FCB">
      <w:pPr>
        <w:pStyle w:val="RAN4proposal"/>
        <w:rPr>
          <w:lang w:val="en-GB"/>
        </w:rPr>
      </w:pPr>
      <w:r w:rsidRPr="00657754">
        <w:rPr>
          <w:lang w:val="en-GB"/>
        </w:rPr>
        <w:t xml:space="preserve">RAN4 to </w:t>
      </w:r>
      <w:r w:rsidR="00BE7288">
        <w:rPr>
          <w:lang w:val="en-GB"/>
        </w:rPr>
        <w:t>discuss a</w:t>
      </w:r>
      <w:r w:rsidR="00657754" w:rsidRPr="00657754">
        <w:rPr>
          <w:lang w:val="en-GB"/>
        </w:rPr>
        <w:t xml:space="preserve"> methodology to test UL LBT failures in RRM tests.</w:t>
      </w:r>
    </w:p>
    <w:bookmarkEnd w:id="7"/>
    <w:p w14:paraId="3D477D02" w14:textId="09E99F6F" w:rsidR="00A207E0" w:rsidRDefault="00A207E0" w:rsidP="00A207E0">
      <w:pPr>
        <w:pStyle w:val="RAN4H1"/>
      </w:pPr>
      <w:r w:rsidRPr="00A207E0">
        <w:lastRenderedPageBreak/>
        <w:t>RSSI and Channel Occupancy measurements</w:t>
      </w:r>
    </w:p>
    <w:p w14:paraId="3A17F724" w14:textId="157BA836" w:rsidR="00A207E0" w:rsidRPr="00A207E0" w:rsidRDefault="00830DD7" w:rsidP="009C4FCB">
      <w:pPr>
        <w:pStyle w:val="RAN4H2"/>
        <w:rPr>
          <w:lang w:val="en-GB"/>
        </w:rPr>
      </w:pPr>
      <w:r>
        <w:t xml:space="preserve">RSSI </w:t>
      </w:r>
      <w:r w:rsidR="00A207E0">
        <w:t>measurement bandwidth</w:t>
      </w:r>
    </w:p>
    <w:p w14:paraId="7430C001" w14:textId="0CF4B2F5" w:rsidR="00830DD7" w:rsidRDefault="00830DD7" w:rsidP="00830DD7">
      <w:pPr>
        <w:rPr>
          <w:lang w:val="en-GB"/>
        </w:rPr>
      </w:pPr>
      <w:r>
        <w:rPr>
          <w:lang w:val="en-GB"/>
        </w:rPr>
        <w:t xml:space="preserve">One topic that was not finalized during the </w:t>
      </w:r>
      <w:r w:rsidR="00444E74">
        <w:rPr>
          <w:lang w:val="en-GB"/>
        </w:rPr>
        <w:t>NR-U Core requirements discussion is the RSSI measurement bandwidth. In RAN4 96e, two options were discussed:</w:t>
      </w:r>
    </w:p>
    <w:p w14:paraId="22821E72" w14:textId="14935647" w:rsidR="00444E74" w:rsidRDefault="00444E74" w:rsidP="00444E74">
      <w:pPr>
        <w:pStyle w:val="ListParagraph"/>
        <w:numPr>
          <w:ilvl w:val="0"/>
          <w:numId w:val="20"/>
        </w:numPr>
        <w:rPr>
          <w:lang w:val="en-GB"/>
        </w:rPr>
      </w:pPr>
      <w:r>
        <w:rPr>
          <w:lang w:val="en-GB"/>
        </w:rPr>
        <w:t>Option 1: RSSI measurement bandwidth is the LBT bandwidth</w:t>
      </w:r>
    </w:p>
    <w:p w14:paraId="7361A6A6" w14:textId="19CF4032" w:rsidR="00444E74" w:rsidRDefault="00444E74" w:rsidP="00444E74">
      <w:pPr>
        <w:pStyle w:val="ListParagraph"/>
        <w:numPr>
          <w:ilvl w:val="0"/>
          <w:numId w:val="20"/>
        </w:numPr>
        <w:rPr>
          <w:lang w:val="en-GB"/>
        </w:rPr>
      </w:pPr>
      <w:r>
        <w:rPr>
          <w:lang w:val="en-GB"/>
        </w:rPr>
        <w:t>Option 2: The discussion can take place in the performance work.</w:t>
      </w:r>
    </w:p>
    <w:p w14:paraId="7AF9BAAE" w14:textId="6B93E477" w:rsidR="00C819C4" w:rsidRDefault="00C819C4" w:rsidP="00444E74">
      <w:pPr>
        <w:rPr>
          <w:lang w:val="en-GB"/>
        </w:rPr>
      </w:pPr>
      <w:r>
        <w:rPr>
          <w:lang w:val="en-GB"/>
        </w:rPr>
        <w:t>In our view, there are different arguments for setting the RSSI measurement bandwidth as the LBT bandwidth. First, this is what RAN1 defined in TS 38.215 (copied below). Second, RAN4 has agreed in RAN4 94e bis that “UE shall not normalize RSSI measurements for reporting purpose”.</w:t>
      </w:r>
    </w:p>
    <w:p w14:paraId="677404FE" w14:textId="77777777" w:rsidR="00C819C4" w:rsidRDefault="00C819C4" w:rsidP="00C819C4">
      <w:pPr>
        <w:pStyle w:val="Heading3"/>
      </w:pPr>
      <w:bookmarkStart w:id="10" w:name="_Toc51776297"/>
      <w:bookmarkStart w:id="11" w:name="_Toc44881127"/>
      <w:bookmarkStart w:id="12" w:name="_Toc35596391"/>
      <w:bookmarkStart w:id="13" w:name="_Toc29901510"/>
      <w:bookmarkStart w:id="14" w:name="_Toc29901463"/>
      <w:bookmarkStart w:id="15" w:name="_Toc29045122"/>
      <w:r>
        <w:t>5.1.21</w:t>
      </w:r>
      <w:r>
        <w:tab/>
        <w:t>Received Signal Strength Indicator (RSSI)</w:t>
      </w:r>
      <w:bookmarkEnd w:id="10"/>
      <w:bookmarkEnd w:id="11"/>
      <w:bookmarkEnd w:id="12"/>
      <w:bookmarkEnd w:id="13"/>
      <w:bookmarkEnd w:id="14"/>
      <w:bookmarkEnd w:id="15"/>
    </w:p>
    <w:p w14:paraId="68F0787C" w14:textId="77777777" w:rsidR="00C819C4" w:rsidRDefault="00C819C4" w:rsidP="00C819C4">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819C4" w:rsidRPr="00C819C4" w14:paraId="12617517" w14:textId="77777777" w:rsidTr="00C819C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4B22AF" w14:textId="77777777" w:rsidR="00C819C4" w:rsidRDefault="00C819C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97E7429" w14:textId="77777777" w:rsidR="00C819C4" w:rsidRDefault="00C819C4">
            <w:pPr>
              <w:pStyle w:val="TAL"/>
              <w:rPr>
                <w:lang w:eastAsia="en-GB"/>
              </w:rPr>
            </w:pPr>
            <w:r>
              <w:rPr>
                <w:lang w:eastAsia="en-GB"/>
              </w:rPr>
              <w:t xml:space="preserve">Received Signal Strength Indicator (RSSI), comprises the </w:t>
            </w:r>
            <w:r>
              <w:rPr>
                <w:lang w:val="en-US" w:eastAsia="en-GB"/>
              </w:rPr>
              <w:t xml:space="preserve">linear average of the </w:t>
            </w:r>
            <w:r>
              <w:rPr>
                <w:lang w:eastAsia="en-GB"/>
              </w:rPr>
              <w:t xml:space="preserve">total received power </w:t>
            </w:r>
            <w:r>
              <w:rPr>
                <w:lang w:val="en-US" w:eastAsia="en-GB"/>
              </w:rPr>
              <w:t xml:space="preserve">(in [W]) </w:t>
            </w:r>
            <w:r>
              <w:rPr>
                <w:lang w:eastAsia="en-GB"/>
              </w:rPr>
              <w:t xml:space="preserve">observed </w:t>
            </w:r>
            <w:r>
              <w:rPr>
                <w:lang w:val="en-US" w:eastAsia="en-GB"/>
              </w:rPr>
              <w:t xml:space="preserve">only per </w:t>
            </w:r>
            <w:r>
              <w:rPr>
                <w:lang w:eastAsia="en-GB"/>
              </w:rPr>
              <w:t xml:space="preserve">configured </w:t>
            </w:r>
            <w:r>
              <w:rPr>
                <w:lang w:val="en-US" w:eastAsia="en-GB"/>
              </w:rPr>
              <w:t xml:space="preserve">OFDM symbol </w:t>
            </w:r>
            <w:r>
              <w:rPr>
                <w:lang w:val="en-US"/>
              </w:rPr>
              <w:t xml:space="preserve">and </w:t>
            </w:r>
            <w:r>
              <w:t xml:space="preserve">in the measurement bandwidth </w:t>
            </w:r>
            <w:r w:rsidRPr="00C819C4">
              <w:rPr>
                <w:highlight w:val="yellow"/>
                <w:lang w:eastAsia="en-GB"/>
              </w:rPr>
              <w:t>corresponding to the channel bandwidth defined in Clause 4 of TS 37.213 [17</w:t>
            </w:r>
            <w:r>
              <w:rPr>
                <w:lang w:eastAsia="en-GB"/>
              </w:rPr>
              <w:t xml:space="preserve">], where the channel has the </w:t>
            </w:r>
            <w:proofErr w:type="spellStart"/>
            <w:r>
              <w:rPr>
                <w:lang w:eastAsia="en-GB"/>
              </w:rPr>
              <w:t>center</w:t>
            </w:r>
            <w:proofErr w:type="spellEnd"/>
            <w:r>
              <w:rPr>
                <w:lang w:eastAsia="en-GB"/>
              </w:rPr>
              <w:t xml:space="preserve"> frequency configured by </w:t>
            </w:r>
            <w:r>
              <w:rPr>
                <w:i/>
                <w:iCs/>
                <w:lang w:eastAsia="en-GB"/>
              </w:rPr>
              <w:t>ARFCN-</w:t>
            </w:r>
            <w:proofErr w:type="spellStart"/>
            <w:r>
              <w:rPr>
                <w:i/>
                <w:iCs/>
                <w:lang w:eastAsia="en-GB"/>
              </w:rPr>
              <w:t>valueNR</w:t>
            </w:r>
            <w:proofErr w:type="spellEnd"/>
            <w:r>
              <w:rPr>
                <w:lang w:eastAsia="en-GB"/>
              </w:rPr>
              <w:t>, by the UE from all sources, including co-channel serving and non-serving cells, adjacent channel interference, thermal noise etc.</w:t>
            </w:r>
          </w:p>
          <w:p w14:paraId="233B019E" w14:textId="77777777" w:rsidR="00C819C4" w:rsidRDefault="00C819C4">
            <w:pPr>
              <w:pStyle w:val="TAL"/>
              <w:rPr>
                <w:lang w:eastAsia="en-GB"/>
              </w:rPr>
            </w:pPr>
          </w:p>
          <w:p w14:paraId="29B9D122" w14:textId="77777777" w:rsidR="00C819C4" w:rsidRDefault="00C819C4">
            <w:pPr>
              <w:pStyle w:val="TAL"/>
              <w:rPr>
                <w:lang w:eastAsia="en-GB"/>
              </w:rPr>
            </w:pPr>
            <w:r>
              <w:rPr>
                <w:lang w:eastAsia="en-GB"/>
              </w:rPr>
              <w:t xml:space="preserve">Higher layers configure the </w:t>
            </w:r>
            <w:r>
              <w:rPr>
                <w:i/>
                <w:iCs/>
                <w:lang w:eastAsia="en-GB"/>
              </w:rPr>
              <w:t>ARFCN-</w:t>
            </w:r>
            <w:proofErr w:type="spellStart"/>
            <w:r>
              <w:rPr>
                <w:i/>
                <w:iCs/>
                <w:lang w:eastAsia="en-GB"/>
              </w:rPr>
              <w:t>valueNR</w:t>
            </w:r>
            <w:proofErr w:type="spellEnd"/>
            <w:r>
              <w:rPr>
                <w:lang w:eastAsia="en-GB"/>
              </w:rPr>
              <w:t>, the reference numerology and the measurement duration, i.e., which OFDM symbol(s) should be measured by the UE.</w:t>
            </w:r>
          </w:p>
          <w:p w14:paraId="5898CACF" w14:textId="77777777" w:rsidR="00C819C4" w:rsidRDefault="00C819C4">
            <w:pPr>
              <w:pStyle w:val="Default"/>
              <w:rPr>
                <w:rFonts w:cs="Times New Roman"/>
                <w:color w:val="auto"/>
                <w:sz w:val="18"/>
                <w:szCs w:val="20"/>
                <w:lang w:val="en-GB" w:eastAsia="en-GB"/>
              </w:rPr>
            </w:pPr>
          </w:p>
          <w:p w14:paraId="78A94FA5" w14:textId="77777777" w:rsidR="00C819C4" w:rsidRDefault="00C819C4">
            <w:pPr>
              <w:pStyle w:val="TAL"/>
              <w:rPr>
                <w:szCs w:val="18"/>
                <w:lang w:eastAsia="en-GB"/>
              </w:rPr>
            </w:pPr>
            <w:r>
              <w:t>For frequency range 1, the reference point for the RSSI shall be the antenna connector of the UE. If receiver diversity is in use by the UE, the reported RSSI value shall not be lower than the corresponding RSSI of any of the individual receiver branches.</w:t>
            </w:r>
          </w:p>
        </w:tc>
      </w:tr>
      <w:tr w:rsidR="00C819C4" w:rsidRPr="00C819C4" w14:paraId="45CDCA39" w14:textId="77777777" w:rsidTr="00C819C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D5A87B" w14:textId="77777777" w:rsidR="00C819C4" w:rsidRDefault="00C819C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2AD4836" w14:textId="77777777" w:rsidR="00C819C4" w:rsidRDefault="00C819C4">
            <w:pPr>
              <w:pStyle w:val="TAL"/>
              <w:rPr>
                <w:lang w:eastAsia="en-GB"/>
              </w:rPr>
            </w:pPr>
            <w:r>
              <w:rPr>
                <w:lang w:eastAsia="en-GB"/>
              </w:rPr>
              <w:t>RRC_CONNECTED intra-frequency,</w:t>
            </w:r>
          </w:p>
          <w:p w14:paraId="4CB7E4B5" w14:textId="77777777" w:rsidR="00C819C4" w:rsidRDefault="00C819C4">
            <w:pPr>
              <w:pStyle w:val="TAL"/>
              <w:rPr>
                <w:lang w:eastAsia="en-GB"/>
              </w:rPr>
            </w:pPr>
            <w:r>
              <w:rPr>
                <w:lang w:eastAsia="en-GB"/>
              </w:rPr>
              <w:t>RRC_CONNECTED inter-frequency</w:t>
            </w:r>
          </w:p>
        </w:tc>
      </w:tr>
    </w:tbl>
    <w:p w14:paraId="492215E0" w14:textId="77777777" w:rsidR="00C819C4" w:rsidRPr="00C819C4" w:rsidRDefault="00C819C4" w:rsidP="00444E74"/>
    <w:p w14:paraId="6CFBDCA5" w14:textId="1330F8B1" w:rsidR="00444E74" w:rsidRDefault="00774E64" w:rsidP="00774E64">
      <w:pPr>
        <w:pStyle w:val="RAN4observation0"/>
      </w:pPr>
      <w:r>
        <w:t>RAN1 define</w:t>
      </w:r>
      <w:r w:rsidR="00431DFF">
        <w:t>d</w:t>
      </w:r>
      <w:r>
        <w:t xml:space="preserve"> the RSSI measurement bandwidth as the channel bandwidth defined in 37.213. In 37.213, clause 4, the definition of a channel is: “</w:t>
      </w:r>
      <w:r w:rsidRPr="00774E64">
        <w:t>A channel refers to a carrier or a part of a carrier consisting of a contiguous set of resource blocks (RBs) on which a channel access procedure is performed in shared spectrum.</w:t>
      </w:r>
      <w:r>
        <w:t>”. Therefore,</w:t>
      </w:r>
      <w:r w:rsidR="00431DFF">
        <w:t xml:space="preserve"> in RAN1 specification,</w:t>
      </w:r>
      <w:r>
        <w:t xml:space="preserve"> the channel bandwidth is the LBT bandwidth.</w:t>
      </w:r>
    </w:p>
    <w:p w14:paraId="36588174" w14:textId="5FD199BA" w:rsidR="00774E64" w:rsidRDefault="00774E64" w:rsidP="00774E64">
      <w:pPr>
        <w:pStyle w:val="RAN4observation0"/>
      </w:pPr>
      <w:r>
        <w:t>RAN4 has agreed that the UE shall not normalize the RSSI measurement for reporting purpose.</w:t>
      </w:r>
    </w:p>
    <w:p w14:paraId="47DF0341" w14:textId="04BEF593" w:rsidR="00444E74" w:rsidRDefault="00774E64" w:rsidP="00830DD7">
      <w:pPr>
        <w:pStyle w:val="RAN4observation0"/>
      </w:pPr>
      <w:r>
        <w:t xml:space="preserve">The only way to have consistent information about the RSSI measurement both at the </w:t>
      </w:r>
      <w:proofErr w:type="spellStart"/>
      <w:r>
        <w:t>gNB</w:t>
      </w:r>
      <w:proofErr w:type="spellEnd"/>
      <w:r>
        <w:t xml:space="preserve"> and at the UE is to define that the RSSI measurement bandwidth is the one already specified by RAN1.</w:t>
      </w:r>
    </w:p>
    <w:p w14:paraId="2F93C579" w14:textId="491A7F22" w:rsidR="00830DD7" w:rsidRDefault="00AD7F31" w:rsidP="009C4FCB">
      <w:pPr>
        <w:pStyle w:val="RAN4proposal"/>
      </w:pPr>
      <w:r>
        <w:t>The</w:t>
      </w:r>
      <w:r w:rsidR="00774E64">
        <w:t xml:space="preserve"> RSSI measurement bandwidth is the LBT bandwidth.</w:t>
      </w:r>
    </w:p>
    <w:p w14:paraId="75C40DC7" w14:textId="5C336402" w:rsidR="00A207E0" w:rsidRDefault="00A207E0" w:rsidP="00A207E0">
      <w:pPr>
        <w:pStyle w:val="RAN4H2"/>
      </w:pPr>
      <w:r>
        <w:t>RSSI</w:t>
      </w:r>
      <w:r w:rsidR="00AD7F31">
        <w:t xml:space="preserve"> measurement</w:t>
      </w:r>
      <w:r>
        <w:t xml:space="preserve"> </w:t>
      </w:r>
      <w:r w:rsidR="00AD7F31">
        <w:t>accuracy</w:t>
      </w:r>
    </w:p>
    <w:p w14:paraId="40894796" w14:textId="732BF431" w:rsidR="00AD7F31" w:rsidRDefault="00AD7F31" w:rsidP="00AD7F31">
      <w:r>
        <w:t>Another topic relevant for the performance discussion is the RSSI measurement accuracy. It was agreed in RAN4 #94bis e, that:</w:t>
      </w:r>
    </w:p>
    <w:tbl>
      <w:tblPr>
        <w:tblStyle w:val="TableGrid"/>
        <w:tblW w:w="0" w:type="auto"/>
        <w:tblLook w:val="04A0" w:firstRow="1" w:lastRow="0" w:firstColumn="1" w:lastColumn="0" w:noHBand="0" w:noVBand="1"/>
      </w:tblPr>
      <w:tblGrid>
        <w:gridCol w:w="9617"/>
      </w:tblGrid>
      <w:tr w:rsidR="00AD7F31" w14:paraId="61722DF6" w14:textId="77777777" w:rsidTr="00AD7F31">
        <w:tc>
          <w:tcPr>
            <w:tcW w:w="9617" w:type="dxa"/>
          </w:tcPr>
          <w:p w14:paraId="26EC4046" w14:textId="7B416B96" w:rsidR="00AD7F31" w:rsidRDefault="00AD7F31" w:rsidP="00AD7F31">
            <w:r w:rsidRPr="00CB4139">
              <w:rPr>
                <w:highlight w:val="green"/>
              </w:rPr>
              <w:t>Agreement:</w:t>
            </w:r>
            <w:r>
              <w:t xml:space="preserve"> </w:t>
            </w:r>
          </w:p>
          <w:p w14:paraId="17C95221" w14:textId="0A7420D8" w:rsidR="00AD7F31" w:rsidRDefault="00AD7F31" w:rsidP="00AD7F31">
            <w:r w:rsidRPr="00AD7F31">
              <w:t>RSSI measurement report mapping in NR-U is defined as:</w:t>
            </w:r>
          </w:p>
          <w:p w14:paraId="33A96EC6" w14:textId="77777777" w:rsidR="00AD7F31" w:rsidRDefault="00AD7F31" w:rsidP="00AD7F31"/>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402"/>
              <w:gridCol w:w="1418"/>
            </w:tblGrid>
            <w:tr w:rsidR="00AD7F31" w:rsidRPr="00691C10" w14:paraId="72B6AAFF" w14:textId="77777777" w:rsidTr="009C4FCB">
              <w:trPr>
                <w:cantSplit/>
              </w:trPr>
              <w:tc>
                <w:tcPr>
                  <w:tcW w:w="3118" w:type="dxa"/>
                </w:tcPr>
                <w:p w14:paraId="2FB59A1C" w14:textId="77777777" w:rsidR="00AD7F31" w:rsidRPr="00691C10" w:rsidRDefault="00AD7F31" w:rsidP="00AD7F31">
                  <w:pPr>
                    <w:pStyle w:val="TAH"/>
                    <w:rPr>
                      <w:rFonts w:cs="v4.2.0"/>
                      <w:lang w:eastAsia="ja-JP"/>
                    </w:rPr>
                  </w:pPr>
                  <w:r w:rsidRPr="00691C10">
                    <w:rPr>
                      <w:rFonts w:cs="v4.2.0"/>
                      <w:lang w:eastAsia="ja-JP"/>
                    </w:rPr>
                    <w:t>Reported value</w:t>
                  </w:r>
                </w:p>
              </w:tc>
              <w:tc>
                <w:tcPr>
                  <w:tcW w:w="3402" w:type="dxa"/>
                </w:tcPr>
                <w:p w14:paraId="64E5E62F" w14:textId="77777777" w:rsidR="00AD7F31" w:rsidRPr="00691C10" w:rsidRDefault="00AD7F31" w:rsidP="00AD7F31">
                  <w:pPr>
                    <w:pStyle w:val="TAH"/>
                    <w:rPr>
                      <w:rFonts w:cs="v4.2.0"/>
                      <w:lang w:eastAsia="ja-JP"/>
                    </w:rPr>
                  </w:pPr>
                  <w:r w:rsidRPr="00691C10">
                    <w:rPr>
                      <w:rFonts w:cs="v4.2.0"/>
                      <w:lang w:eastAsia="ja-JP"/>
                    </w:rPr>
                    <w:t>Measured quantity value</w:t>
                  </w:r>
                </w:p>
              </w:tc>
              <w:tc>
                <w:tcPr>
                  <w:tcW w:w="1418" w:type="dxa"/>
                </w:tcPr>
                <w:p w14:paraId="62BC73E3" w14:textId="77777777" w:rsidR="00AD7F31" w:rsidRPr="00691C10" w:rsidRDefault="00AD7F31" w:rsidP="00AD7F31">
                  <w:pPr>
                    <w:pStyle w:val="TAH"/>
                    <w:rPr>
                      <w:rFonts w:cs="v4.2.0"/>
                      <w:lang w:eastAsia="ja-JP"/>
                    </w:rPr>
                  </w:pPr>
                  <w:r w:rsidRPr="00691C10">
                    <w:rPr>
                      <w:rFonts w:cs="v4.2.0"/>
                      <w:lang w:eastAsia="ja-JP"/>
                    </w:rPr>
                    <w:t>Unit</w:t>
                  </w:r>
                </w:p>
              </w:tc>
            </w:tr>
            <w:tr w:rsidR="00AD7F31" w:rsidRPr="00691C10" w14:paraId="39006934" w14:textId="77777777" w:rsidTr="009C4FCB">
              <w:trPr>
                <w:cantSplit/>
              </w:trPr>
              <w:tc>
                <w:tcPr>
                  <w:tcW w:w="3118" w:type="dxa"/>
                </w:tcPr>
                <w:p w14:paraId="64CAE92D" w14:textId="77777777" w:rsidR="00AD7F31" w:rsidRPr="00691C10" w:rsidRDefault="00AD7F31" w:rsidP="00AD7F31">
                  <w:pPr>
                    <w:pStyle w:val="TAC"/>
                    <w:rPr>
                      <w:rFonts w:cs="Arial"/>
                      <w:lang w:val="sv-SE" w:eastAsia="ja-JP"/>
                    </w:rPr>
                  </w:pPr>
                  <w:r w:rsidRPr="00691C10">
                    <w:rPr>
                      <w:rFonts w:cs="Arial"/>
                      <w:lang w:val="sv-SE" w:eastAsia="ja-JP"/>
                    </w:rPr>
                    <w:t>RSSI_00</w:t>
                  </w:r>
                </w:p>
              </w:tc>
              <w:tc>
                <w:tcPr>
                  <w:tcW w:w="3402" w:type="dxa"/>
                </w:tcPr>
                <w:p w14:paraId="57605CF5" w14:textId="77777777" w:rsidR="00AD7F31" w:rsidRPr="00691C10" w:rsidRDefault="00AD7F31" w:rsidP="00AD7F31">
                  <w:pPr>
                    <w:pStyle w:val="TAC"/>
                    <w:rPr>
                      <w:rFonts w:cs="Arial"/>
                      <w:lang w:eastAsia="ja-JP"/>
                    </w:rPr>
                  </w:pPr>
                  <w:r w:rsidRPr="00691C10">
                    <w:rPr>
                      <w:rFonts w:cs="Arial"/>
                      <w:lang w:eastAsia="ja-JP"/>
                    </w:rPr>
                    <w:t xml:space="preserve">RSSI &lt; </w:t>
                  </w:r>
                  <w:r w:rsidRPr="00691C10">
                    <w:rPr>
                      <w:rFonts w:cs="Arial"/>
                      <w:lang w:eastAsia="ja-JP"/>
                    </w:rPr>
                    <w:noBreakHyphen/>
                    <w:t xml:space="preserve">100 </w:t>
                  </w:r>
                </w:p>
              </w:tc>
              <w:tc>
                <w:tcPr>
                  <w:tcW w:w="1418" w:type="dxa"/>
                </w:tcPr>
                <w:p w14:paraId="26DAF547" w14:textId="77777777" w:rsidR="00AD7F31" w:rsidRPr="00691C10" w:rsidRDefault="00AD7F31" w:rsidP="00AD7F31">
                  <w:pPr>
                    <w:pStyle w:val="TAC"/>
                    <w:rPr>
                      <w:rFonts w:cs="Arial"/>
                      <w:lang w:eastAsia="ja-JP"/>
                    </w:rPr>
                  </w:pPr>
                  <w:r w:rsidRPr="00691C10">
                    <w:rPr>
                      <w:rFonts w:cs="Arial"/>
                      <w:lang w:eastAsia="ja-JP"/>
                    </w:rPr>
                    <w:t>dBm</w:t>
                  </w:r>
                </w:p>
              </w:tc>
            </w:tr>
            <w:tr w:rsidR="00AD7F31" w:rsidRPr="00691C10" w14:paraId="4A3E436C" w14:textId="77777777" w:rsidTr="009C4FCB">
              <w:trPr>
                <w:cantSplit/>
              </w:trPr>
              <w:tc>
                <w:tcPr>
                  <w:tcW w:w="3118" w:type="dxa"/>
                </w:tcPr>
                <w:p w14:paraId="5FD0C382" w14:textId="77777777" w:rsidR="00AD7F31" w:rsidRPr="00691C10" w:rsidRDefault="00AD7F31" w:rsidP="00AD7F31">
                  <w:pPr>
                    <w:pStyle w:val="TAC"/>
                    <w:rPr>
                      <w:rFonts w:cs="Arial"/>
                      <w:lang w:val="sv-SE" w:eastAsia="ja-JP"/>
                    </w:rPr>
                  </w:pPr>
                  <w:r w:rsidRPr="00691C10">
                    <w:rPr>
                      <w:rFonts w:cs="Arial"/>
                      <w:lang w:val="sv-SE" w:eastAsia="ja-JP"/>
                    </w:rPr>
                    <w:t>RSSI_01</w:t>
                  </w:r>
                </w:p>
              </w:tc>
              <w:tc>
                <w:tcPr>
                  <w:tcW w:w="3402" w:type="dxa"/>
                </w:tcPr>
                <w:p w14:paraId="66E94756" w14:textId="77777777" w:rsidR="00AD7F31" w:rsidRPr="00691C10" w:rsidRDefault="00AD7F31" w:rsidP="00AD7F31">
                  <w:pPr>
                    <w:pStyle w:val="TAC"/>
                    <w:rPr>
                      <w:rFonts w:cs="Arial"/>
                      <w:lang w:eastAsia="ja-JP"/>
                    </w:rPr>
                  </w:pPr>
                  <w:r w:rsidRPr="00691C10">
                    <w:rPr>
                      <w:rFonts w:cs="Arial"/>
                      <w:lang w:eastAsia="ja-JP"/>
                    </w:rPr>
                    <w:t xml:space="preserve">-100 </w:t>
                  </w:r>
                  <w:r w:rsidRPr="00691C10">
                    <w:rPr>
                      <w:rFonts w:ascii="Symbol" w:eastAsia="Symbol" w:hAnsi="Symbol" w:cs="Symbol"/>
                      <w:lang w:eastAsia="ja-JP"/>
                    </w:rPr>
                    <w:sym w:font="Symbol" w:char="F0A3"/>
                  </w:r>
                  <w:r w:rsidRPr="00691C10">
                    <w:rPr>
                      <w:rFonts w:cs="Arial"/>
                      <w:lang w:eastAsia="ja-JP"/>
                    </w:rPr>
                    <w:t xml:space="preserve"> RSSI &lt; </w:t>
                  </w:r>
                  <w:r w:rsidRPr="00691C10">
                    <w:rPr>
                      <w:rFonts w:cs="Arial"/>
                      <w:lang w:eastAsia="ja-JP"/>
                    </w:rPr>
                    <w:noBreakHyphen/>
                    <w:t>99</w:t>
                  </w:r>
                </w:p>
              </w:tc>
              <w:tc>
                <w:tcPr>
                  <w:tcW w:w="1418" w:type="dxa"/>
                </w:tcPr>
                <w:p w14:paraId="1E62AAC6" w14:textId="77777777" w:rsidR="00AD7F31" w:rsidRPr="00691C10" w:rsidRDefault="00AD7F31" w:rsidP="00AD7F31">
                  <w:pPr>
                    <w:pStyle w:val="TAC"/>
                    <w:rPr>
                      <w:rFonts w:cs="Arial"/>
                      <w:lang w:eastAsia="ja-JP"/>
                    </w:rPr>
                  </w:pPr>
                  <w:r w:rsidRPr="00691C10">
                    <w:rPr>
                      <w:rFonts w:cs="Arial"/>
                      <w:lang w:eastAsia="ja-JP"/>
                    </w:rPr>
                    <w:t>dBm</w:t>
                  </w:r>
                </w:p>
              </w:tc>
            </w:tr>
            <w:tr w:rsidR="00AD7F31" w:rsidRPr="00691C10" w14:paraId="1EBC5E21" w14:textId="77777777" w:rsidTr="009C4FCB">
              <w:trPr>
                <w:cantSplit/>
              </w:trPr>
              <w:tc>
                <w:tcPr>
                  <w:tcW w:w="3118" w:type="dxa"/>
                </w:tcPr>
                <w:p w14:paraId="51AD69BD" w14:textId="77777777" w:rsidR="00AD7F31" w:rsidRPr="00691C10" w:rsidRDefault="00AD7F31" w:rsidP="00AD7F31">
                  <w:pPr>
                    <w:pStyle w:val="TAC"/>
                    <w:rPr>
                      <w:rFonts w:cs="Arial"/>
                      <w:lang w:val="sv-SE" w:eastAsia="ja-JP"/>
                    </w:rPr>
                  </w:pPr>
                  <w:r w:rsidRPr="00691C10">
                    <w:rPr>
                      <w:rFonts w:cs="Arial"/>
                      <w:lang w:val="sv-SE" w:eastAsia="ja-JP"/>
                    </w:rPr>
                    <w:t>RSSI_02</w:t>
                  </w:r>
                </w:p>
              </w:tc>
              <w:tc>
                <w:tcPr>
                  <w:tcW w:w="3402" w:type="dxa"/>
                </w:tcPr>
                <w:p w14:paraId="04BE59E5" w14:textId="77777777" w:rsidR="00AD7F31" w:rsidRPr="00691C10" w:rsidRDefault="00AD7F31" w:rsidP="00AD7F31">
                  <w:pPr>
                    <w:pStyle w:val="TAC"/>
                    <w:rPr>
                      <w:rFonts w:cs="Arial"/>
                      <w:lang w:eastAsia="ja-JP"/>
                    </w:rPr>
                  </w:pPr>
                  <w:r w:rsidRPr="00691C10">
                    <w:rPr>
                      <w:rFonts w:cs="Arial"/>
                      <w:lang w:eastAsia="ja-JP"/>
                    </w:rPr>
                    <w:t xml:space="preserve">-99 </w:t>
                  </w:r>
                  <w:r w:rsidRPr="00691C10">
                    <w:rPr>
                      <w:rFonts w:ascii="Symbol" w:eastAsia="Symbol" w:hAnsi="Symbol" w:cs="Symbol"/>
                      <w:lang w:eastAsia="ja-JP"/>
                    </w:rPr>
                    <w:sym w:font="Symbol" w:char="F0A3"/>
                  </w:r>
                  <w:r w:rsidRPr="00691C10">
                    <w:rPr>
                      <w:rFonts w:cs="Arial"/>
                      <w:lang w:eastAsia="ja-JP"/>
                    </w:rPr>
                    <w:t xml:space="preserve"> RSSI &lt; </w:t>
                  </w:r>
                  <w:r w:rsidRPr="00691C10">
                    <w:rPr>
                      <w:rFonts w:cs="Arial"/>
                      <w:lang w:eastAsia="ja-JP"/>
                    </w:rPr>
                    <w:noBreakHyphen/>
                    <w:t>98</w:t>
                  </w:r>
                </w:p>
              </w:tc>
              <w:tc>
                <w:tcPr>
                  <w:tcW w:w="1418" w:type="dxa"/>
                </w:tcPr>
                <w:p w14:paraId="158B5EB1" w14:textId="77777777" w:rsidR="00AD7F31" w:rsidRPr="00691C10" w:rsidRDefault="00AD7F31" w:rsidP="00AD7F31">
                  <w:pPr>
                    <w:pStyle w:val="TAC"/>
                    <w:rPr>
                      <w:rFonts w:cs="Arial"/>
                      <w:lang w:eastAsia="ja-JP"/>
                    </w:rPr>
                  </w:pPr>
                  <w:r w:rsidRPr="00691C10">
                    <w:rPr>
                      <w:rFonts w:cs="Arial"/>
                      <w:lang w:eastAsia="ja-JP"/>
                    </w:rPr>
                    <w:t>dBm</w:t>
                  </w:r>
                </w:p>
              </w:tc>
            </w:tr>
            <w:tr w:rsidR="00AD7F31" w:rsidRPr="00691C10" w14:paraId="75350F0B" w14:textId="77777777" w:rsidTr="009C4FCB">
              <w:trPr>
                <w:cantSplit/>
              </w:trPr>
              <w:tc>
                <w:tcPr>
                  <w:tcW w:w="3118" w:type="dxa"/>
                </w:tcPr>
                <w:p w14:paraId="3B73E9D0" w14:textId="77777777" w:rsidR="00AD7F31" w:rsidRPr="00691C10" w:rsidRDefault="00AD7F31" w:rsidP="00AD7F31">
                  <w:pPr>
                    <w:pStyle w:val="TAC"/>
                    <w:rPr>
                      <w:rFonts w:cs="Arial"/>
                      <w:lang w:eastAsia="ja-JP"/>
                    </w:rPr>
                  </w:pPr>
                  <w:r w:rsidRPr="00691C10">
                    <w:rPr>
                      <w:rFonts w:cs="Arial"/>
                      <w:lang w:eastAsia="ja-JP"/>
                    </w:rPr>
                    <w:t>…</w:t>
                  </w:r>
                </w:p>
              </w:tc>
              <w:tc>
                <w:tcPr>
                  <w:tcW w:w="3402" w:type="dxa"/>
                </w:tcPr>
                <w:p w14:paraId="68DD9186" w14:textId="77777777" w:rsidR="00AD7F31" w:rsidRPr="00691C10" w:rsidRDefault="00AD7F31" w:rsidP="00AD7F31">
                  <w:pPr>
                    <w:pStyle w:val="TAC"/>
                    <w:rPr>
                      <w:rFonts w:cs="Arial"/>
                      <w:lang w:eastAsia="ja-JP"/>
                    </w:rPr>
                  </w:pPr>
                  <w:r w:rsidRPr="00691C10">
                    <w:rPr>
                      <w:rFonts w:cs="Arial"/>
                      <w:lang w:eastAsia="ja-JP"/>
                    </w:rPr>
                    <w:t>…</w:t>
                  </w:r>
                </w:p>
              </w:tc>
              <w:tc>
                <w:tcPr>
                  <w:tcW w:w="1418" w:type="dxa"/>
                </w:tcPr>
                <w:p w14:paraId="1724AE07" w14:textId="77777777" w:rsidR="00AD7F31" w:rsidRPr="00691C10" w:rsidRDefault="00AD7F31" w:rsidP="00AD7F31">
                  <w:pPr>
                    <w:pStyle w:val="TAC"/>
                    <w:rPr>
                      <w:rFonts w:cs="Arial"/>
                      <w:lang w:eastAsia="ja-JP"/>
                    </w:rPr>
                  </w:pPr>
                  <w:r w:rsidRPr="00691C10">
                    <w:rPr>
                      <w:rFonts w:cs="Arial"/>
                      <w:lang w:eastAsia="ja-JP"/>
                    </w:rPr>
                    <w:t>…</w:t>
                  </w:r>
                </w:p>
              </w:tc>
            </w:tr>
            <w:tr w:rsidR="00AD7F31" w:rsidRPr="00691C10" w14:paraId="0086292E" w14:textId="77777777" w:rsidTr="009C4FCB">
              <w:trPr>
                <w:cantSplit/>
              </w:trPr>
              <w:tc>
                <w:tcPr>
                  <w:tcW w:w="3118" w:type="dxa"/>
                </w:tcPr>
                <w:p w14:paraId="0F8F044C" w14:textId="77777777" w:rsidR="00AD7F31" w:rsidRPr="00691C10" w:rsidRDefault="00AD7F31" w:rsidP="00AD7F31">
                  <w:pPr>
                    <w:pStyle w:val="TAC"/>
                    <w:rPr>
                      <w:rFonts w:cs="Arial"/>
                      <w:lang w:val="sv-SE" w:eastAsia="ja-JP"/>
                    </w:rPr>
                  </w:pPr>
                  <w:r w:rsidRPr="00691C10">
                    <w:rPr>
                      <w:rFonts w:cs="Arial"/>
                      <w:lang w:val="sv-SE" w:eastAsia="ja-JP"/>
                    </w:rPr>
                    <w:t>RSSI_74</w:t>
                  </w:r>
                </w:p>
              </w:tc>
              <w:tc>
                <w:tcPr>
                  <w:tcW w:w="3402" w:type="dxa"/>
                </w:tcPr>
                <w:p w14:paraId="7CA48F47" w14:textId="77777777" w:rsidR="00AD7F31" w:rsidRPr="00691C10" w:rsidRDefault="00AD7F31" w:rsidP="00AD7F31">
                  <w:pPr>
                    <w:pStyle w:val="TAC"/>
                    <w:rPr>
                      <w:rFonts w:cs="Arial"/>
                      <w:lang w:eastAsia="ja-JP"/>
                    </w:rPr>
                  </w:pPr>
                  <w:r w:rsidRPr="00691C10">
                    <w:rPr>
                      <w:rFonts w:cs="Arial"/>
                      <w:lang w:eastAsia="ja-JP"/>
                    </w:rPr>
                    <w:t xml:space="preserve">-27 </w:t>
                  </w:r>
                  <w:r w:rsidRPr="00691C10">
                    <w:rPr>
                      <w:rFonts w:ascii="Symbol" w:eastAsia="Symbol" w:hAnsi="Symbol" w:cs="Symbol"/>
                      <w:lang w:eastAsia="ja-JP"/>
                    </w:rPr>
                    <w:sym w:font="Symbol" w:char="F0A3"/>
                  </w:r>
                  <w:r w:rsidRPr="00691C10">
                    <w:rPr>
                      <w:rFonts w:cs="Arial"/>
                      <w:lang w:eastAsia="ja-JP"/>
                    </w:rPr>
                    <w:t xml:space="preserve"> RSSI &lt; -26</w:t>
                  </w:r>
                </w:p>
              </w:tc>
              <w:tc>
                <w:tcPr>
                  <w:tcW w:w="1418" w:type="dxa"/>
                </w:tcPr>
                <w:p w14:paraId="5019956C" w14:textId="77777777" w:rsidR="00AD7F31" w:rsidRPr="00691C10" w:rsidRDefault="00AD7F31" w:rsidP="00AD7F31">
                  <w:pPr>
                    <w:pStyle w:val="TAC"/>
                    <w:rPr>
                      <w:rFonts w:cs="Arial"/>
                      <w:lang w:eastAsia="ja-JP"/>
                    </w:rPr>
                  </w:pPr>
                  <w:r w:rsidRPr="00691C10">
                    <w:rPr>
                      <w:rFonts w:cs="Arial"/>
                      <w:lang w:eastAsia="ja-JP"/>
                    </w:rPr>
                    <w:t>dBm</w:t>
                  </w:r>
                </w:p>
              </w:tc>
            </w:tr>
            <w:tr w:rsidR="00AD7F31" w:rsidRPr="00691C10" w14:paraId="4ED800FF" w14:textId="77777777" w:rsidTr="009C4FCB">
              <w:trPr>
                <w:cantSplit/>
              </w:trPr>
              <w:tc>
                <w:tcPr>
                  <w:tcW w:w="3118" w:type="dxa"/>
                </w:tcPr>
                <w:p w14:paraId="35E66E21" w14:textId="77777777" w:rsidR="00AD7F31" w:rsidRPr="00691C10" w:rsidRDefault="00AD7F31" w:rsidP="00AD7F31">
                  <w:pPr>
                    <w:pStyle w:val="TAC"/>
                    <w:rPr>
                      <w:rFonts w:cs="Arial"/>
                      <w:lang w:val="sv-SE" w:eastAsia="ja-JP"/>
                    </w:rPr>
                  </w:pPr>
                  <w:r w:rsidRPr="00691C10">
                    <w:rPr>
                      <w:rFonts w:cs="Arial"/>
                      <w:lang w:val="sv-SE" w:eastAsia="ja-JP"/>
                    </w:rPr>
                    <w:t>RSSI_75</w:t>
                  </w:r>
                </w:p>
              </w:tc>
              <w:tc>
                <w:tcPr>
                  <w:tcW w:w="3402" w:type="dxa"/>
                </w:tcPr>
                <w:p w14:paraId="641BA61A" w14:textId="77777777" w:rsidR="00AD7F31" w:rsidRPr="00691C10" w:rsidRDefault="00AD7F31" w:rsidP="00AD7F31">
                  <w:pPr>
                    <w:pStyle w:val="TAC"/>
                    <w:rPr>
                      <w:rFonts w:cs="Arial"/>
                      <w:lang w:eastAsia="ja-JP"/>
                    </w:rPr>
                  </w:pPr>
                  <w:r w:rsidRPr="00691C10">
                    <w:rPr>
                      <w:rFonts w:cs="Arial"/>
                      <w:lang w:eastAsia="ja-JP"/>
                    </w:rPr>
                    <w:t xml:space="preserve">-26 </w:t>
                  </w:r>
                  <w:r w:rsidRPr="00691C10">
                    <w:rPr>
                      <w:rFonts w:ascii="Symbol" w:eastAsia="Symbol" w:hAnsi="Symbol" w:cs="Symbol"/>
                      <w:lang w:eastAsia="ja-JP"/>
                    </w:rPr>
                    <w:sym w:font="Symbol" w:char="F0A3"/>
                  </w:r>
                  <w:r w:rsidRPr="00691C10">
                    <w:rPr>
                      <w:rFonts w:cs="Arial"/>
                      <w:lang w:eastAsia="ja-JP"/>
                    </w:rPr>
                    <w:t xml:space="preserve"> RSSI &lt; -25</w:t>
                  </w:r>
                </w:p>
              </w:tc>
              <w:tc>
                <w:tcPr>
                  <w:tcW w:w="1418" w:type="dxa"/>
                </w:tcPr>
                <w:p w14:paraId="13C02F01" w14:textId="77777777" w:rsidR="00AD7F31" w:rsidRPr="00691C10" w:rsidRDefault="00AD7F31" w:rsidP="00AD7F31">
                  <w:pPr>
                    <w:pStyle w:val="TAC"/>
                    <w:rPr>
                      <w:rFonts w:cs="Arial"/>
                      <w:lang w:eastAsia="ja-JP"/>
                    </w:rPr>
                  </w:pPr>
                  <w:r w:rsidRPr="00691C10">
                    <w:rPr>
                      <w:rFonts w:cs="Arial"/>
                      <w:lang w:eastAsia="ja-JP"/>
                    </w:rPr>
                    <w:t>dBm</w:t>
                  </w:r>
                </w:p>
              </w:tc>
            </w:tr>
            <w:tr w:rsidR="00AD7F31" w:rsidRPr="00691C10" w14:paraId="04497990" w14:textId="77777777" w:rsidTr="009C4FCB">
              <w:trPr>
                <w:cantSplit/>
              </w:trPr>
              <w:tc>
                <w:tcPr>
                  <w:tcW w:w="3118" w:type="dxa"/>
                </w:tcPr>
                <w:p w14:paraId="4FAB02FD" w14:textId="77777777" w:rsidR="00AD7F31" w:rsidRPr="00691C10" w:rsidRDefault="00AD7F31" w:rsidP="00AD7F31">
                  <w:pPr>
                    <w:pStyle w:val="TAC"/>
                    <w:rPr>
                      <w:rFonts w:cs="Arial"/>
                      <w:lang w:val="sv-SE" w:eastAsia="ja-JP"/>
                    </w:rPr>
                  </w:pPr>
                  <w:r w:rsidRPr="00691C10">
                    <w:rPr>
                      <w:rFonts w:cs="Arial"/>
                      <w:lang w:val="sv-SE" w:eastAsia="ja-JP"/>
                    </w:rPr>
                    <w:t>RSSI_76</w:t>
                  </w:r>
                </w:p>
              </w:tc>
              <w:tc>
                <w:tcPr>
                  <w:tcW w:w="3402" w:type="dxa"/>
                </w:tcPr>
                <w:p w14:paraId="6E9E8145" w14:textId="77777777" w:rsidR="00AD7F31" w:rsidRPr="00691C10" w:rsidRDefault="00AD7F31" w:rsidP="00AD7F31">
                  <w:pPr>
                    <w:pStyle w:val="TAC"/>
                    <w:rPr>
                      <w:rFonts w:cs="Arial"/>
                      <w:lang w:eastAsia="ja-JP"/>
                    </w:rPr>
                  </w:pPr>
                  <w:r w:rsidRPr="00691C10">
                    <w:rPr>
                      <w:rFonts w:cs="Arial"/>
                      <w:lang w:eastAsia="ja-JP"/>
                    </w:rPr>
                    <w:t xml:space="preserve">-25 </w:t>
                  </w:r>
                  <w:r w:rsidRPr="00691C10">
                    <w:rPr>
                      <w:rFonts w:ascii="Symbol" w:eastAsia="Symbol" w:hAnsi="Symbol" w:cs="Symbol"/>
                      <w:lang w:eastAsia="ja-JP"/>
                    </w:rPr>
                    <w:sym w:font="Symbol" w:char="F0A3"/>
                  </w:r>
                  <w:r w:rsidRPr="00691C10">
                    <w:rPr>
                      <w:rFonts w:cs="Arial"/>
                      <w:lang w:eastAsia="ja-JP"/>
                    </w:rPr>
                    <w:t xml:space="preserve"> RSSI</w:t>
                  </w:r>
                </w:p>
              </w:tc>
              <w:tc>
                <w:tcPr>
                  <w:tcW w:w="1418" w:type="dxa"/>
                </w:tcPr>
                <w:p w14:paraId="51D21A58" w14:textId="77777777" w:rsidR="00AD7F31" w:rsidRPr="00691C10" w:rsidRDefault="00AD7F31" w:rsidP="00AD7F31">
                  <w:pPr>
                    <w:pStyle w:val="TAC"/>
                    <w:rPr>
                      <w:rFonts w:cs="Arial"/>
                      <w:lang w:eastAsia="ja-JP"/>
                    </w:rPr>
                  </w:pPr>
                  <w:r w:rsidRPr="00691C10">
                    <w:rPr>
                      <w:rFonts w:cs="Arial"/>
                      <w:lang w:eastAsia="ja-JP"/>
                    </w:rPr>
                    <w:t>dBm</w:t>
                  </w:r>
                </w:p>
              </w:tc>
            </w:tr>
          </w:tbl>
          <w:p w14:paraId="3195F8AF" w14:textId="15BDA193" w:rsidR="00AD7F31" w:rsidRDefault="00AD7F31" w:rsidP="00AD7F31"/>
        </w:tc>
      </w:tr>
    </w:tbl>
    <w:p w14:paraId="7843DFD4" w14:textId="01840760" w:rsidR="00AD7F31" w:rsidRDefault="00AD7F31" w:rsidP="00AD7F31"/>
    <w:p w14:paraId="411B9E0E" w14:textId="41D19AFE" w:rsidR="00CB4139" w:rsidRPr="00AD7F31" w:rsidRDefault="00CB4139" w:rsidP="00CB4139">
      <w:pPr>
        <w:pStyle w:val="RAN4observation0"/>
      </w:pPr>
      <w:r>
        <w:lastRenderedPageBreak/>
        <w:t xml:space="preserve">The agreed RSSI measurement report mapping in NR-U uses the same table as the one defined for LTE-LAA. </w:t>
      </w:r>
    </w:p>
    <w:p w14:paraId="2F76A5D1" w14:textId="1BFD52BA" w:rsidR="00A207E0" w:rsidRPr="009C4FCB" w:rsidRDefault="001F22FF" w:rsidP="00A207E0">
      <w:r w:rsidRPr="009C4FCB">
        <w:t xml:space="preserve">Considering that the </w:t>
      </w:r>
      <w:r w:rsidR="009C4FCB" w:rsidRPr="009C4FCB">
        <w:t xml:space="preserve">RSSI </w:t>
      </w:r>
      <w:r w:rsidRPr="009C4FCB">
        <w:t>report mapping</w:t>
      </w:r>
      <w:r w:rsidR="009C4FCB" w:rsidRPr="009C4FCB">
        <w:t xml:space="preserve"> in NR-U </w:t>
      </w:r>
      <w:r w:rsidRPr="009C4FCB">
        <w:t>is the same as in LTE-LAA</w:t>
      </w:r>
      <w:r w:rsidR="00BE7288" w:rsidRPr="009C4FCB">
        <w:t xml:space="preserve"> and</w:t>
      </w:r>
      <w:r w:rsidRPr="009C4FCB">
        <w:t xml:space="preserve"> </w:t>
      </w:r>
      <w:r w:rsidR="009C4FCB" w:rsidRPr="009C4FCB">
        <w:t>other similarities in the definition of the RSSI measurements in both cases</w:t>
      </w:r>
      <w:r w:rsidR="00BE7288" w:rsidRPr="009C4FCB">
        <w:t xml:space="preserve">, we believe that it is </w:t>
      </w:r>
      <w:proofErr w:type="gramStart"/>
      <w:r w:rsidR="00BE7288" w:rsidRPr="009C4FCB">
        <w:t>sufficient</w:t>
      </w:r>
      <w:proofErr w:type="gramEnd"/>
      <w:r w:rsidR="00BE7288" w:rsidRPr="009C4FCB">
        <w:t xml:space="preserve"> to reuse the same accuracy requirements in NR-U.</w:t>
      </w:r>
    </w:p>
    <w:p w14:paraId="19280965" w14:textId="3B986CCC" w:rsidR="00BE7288" w:rsidRPr="009C4FCB" w:rsidRDefault="00BE7288" w:rsidP="00BE7288">
      <w:pPr>
        <w:pStyle w:val="RAN4proposal"/>
      </w:pPr>
      <w:r w:rsidRPr="009C4FCB">
        <w:t xml:space="preserve">Define RSSI measurement accuracy requirements in NR-U to be the same as in LTE-LAA. </w:t>
      </w:r>
    </w:p>
    <w:p w14:paraId="13377B58" w14:textId="0DB36039" w:rsidR="00BE7288" w:rsidRPr="00A207E0" w:rsidRDefault="00BE7288" w:rsidP="00BE7288">
      <w:pPr>
        <w:pStyle w:val="RAN4proposal"/>
        <w:numPr>
          <w:ilvl w:val="0"/>
          <w:numId w:val="0"/>
        </w:numPr>
      </w:pPr>
    </w:p>
    <w:p w14:paraId="20D10650" w14:textId="63BAF751" w:rsidR="00830DD7" w:rsidRDefault="00830DD7" w:rsidP="00830DD7">
      <w:pPr>
        <w:pStyle w:val="RAN4H1"/>
      </w:pPr>
      <w:r>
        <w:t>Conclusions</w:t>
      </w:r>
    </w:p>
    <w:p w14:paraId="3D0E6B5F" w14:textId="77777777" w:rsidR="00521D3D" w:rsidRDefault="00521D3D" w:rsidP="00521D3D">
      <w:pPr>
        <w:pStyle w:val="RAN4Observation"/>
        <w:numPr>
          <w:ilvl w:val="0"/>
          <w:numId w:val="21"/>
        </w:numPr>
        <w:ind w:left="0" w:firstLine="0"/>
      </w:pPr>
      <w:r>
        <w:t xml:space="preserve">Core requirements were modified to </w:t>
      </w:r>
      <w:proofErr w:type="gramStart"/>
      <w:r>
        <w:t>take into account</w:t>
      </w:r>
      <w:proofErr w:type="gramEnd"/>
      <w:r>
        <w:t xml:space="preserve"> DL or UL LBT failure during procedures.</w:t>
      </w:r>
    </w:p>
    <w:p w14:paraId="6D39FFB0" w14:textId="77777777" w:rsidR="00521D3D" w:rsidRDefault="00521D3D" w:rsidP="00521D3D">
      <w:pPr>
        <w:pStyle w:val="RAN4observation0"/>
      </w:pPr>
      <w:r>
        <w:t xml:space="preserve">Additionally, new core requirements were created, such as: UL BWP switch due to consistent UL CCA failure </w:t>
      </w:r>
    </w:p>
    <w:p w14:paraId="65A50431" w14:textId="77777777" w:rsidR="00521D3D" w:rsidRDefault="00521D3D" w:rsidP="00521D3D">
      <w:pPr>
        <w:pStyle w:val="RAN4observation0"/>
      </w:pPr>
      <w:r>
        <w:t>In LTE-LAA a simple LBT model was defined for the RRM test cases, in which the transmission equipment would determine whether to transmit a discovery reference signal within a DMTC based on a probability P=0.75.</w:t>
      </w:r>
    </w:p>
    <w:p w14:paraId="10A6E659" w14:textId="5858CDA3" w:rsidR="00521D3D" w:rsidRDefault="00521D3D" w:rsidP="00521D3D">
      <w:pPr>
        <w:pStyle w:val="RAN4observation0"/>
      </w:pPr>
      <w:r>
        <w:t xml:space="preserve">In NR-U, besides the definition of the LBT success within a DRS transmission window, the candidate position in which a given SSB is transmitted also needs to be </w:t>
      </w:r>
      <w:proofErr w:type="gramStart"/>
      <w:r>
        <w:t>taken into account</w:t>
      </w:r>
      <w:proofErr w:type="gramEnd"/>
      <w:r>
        <w:t xml:space="preserve"> in the LBT model. Differentiation between LBE and FBE should be ensured in the test cases.</w:t>
      </w:r>
    </w:p>
    <w:p w14:paraId="331645EE" w14:textId="6BD451EB" w:rsidR="00521D3D" w:rsidRPr="0068766A" w:rsidRDefault="00521D3D" w:rsidP="00521D3D">
      <w:pPr>
        <w:pStyle w:val="RAN4proposal"/>
        <w:numPr>
          <w:ilvl w:val="0"/>
          <w:numId w:val="23"/>
        </w:numPr>
      </w:pPr>
      <w:r w:rsidRPr="0068766A">
        <w:t xml:space="preserve">RAN4 to differentiate LBE and FBE </w:t>
      </w:r>
      <w:r>
        <w:t xml:space="preserve">DL LBT models. </w:t>
      </w:r>
    </w:p>
    <w:p w14:paraId="15110249" w14:textId="5DCE66E8" w:rsidR="00521D3D" w:rsidRDefault="00521D3D" w:rsidP="00521D3D">
      <w:pPr>
        <w:pStyle w:val="RAN4proposal"/>
      </w:pPr>
      <w:r w:rsidRPr="361A9440">
        <w:t xml:space="preserve">For </w:t>
      </w:r>
      <w:r w:rsidRPr="00521D3D">
        <w:t>LBE</w:t>
      </w:r>
      <w:r w:rsidRPr="361A9440">
        <w:t xml:space="preserve"> test cases: RAN4 to adopt the following DL LBT model: 1) Define a probability of P=0.75 for the transmission of the DRS in the first candidate position. 2) In case of LBT failure for transmission in the first candidate position, define a probability of P </w:t>
      </w:r>
      <w:r>
        <w:t xml:space="preserve">= 0.75 for the transmission in the second candidate position for </w:t>
      </w:r>
      <w:r w:rsidRPr="361A9440">
        <w:t xml:space="preserve">a given SSB index. </w:t>
      </w:r>
    </w:p>
    <w:p w14:paraId="489158E6" w14:textId="77777777" w:rsidR="00521D3D" w:rsidRDefault="00521D3D" w:rsidP="00521D3D">
      <w:pPr>
        <w:pStyle w:val="RAN4proposal"/>
      </w:pPr>
      <w:r>
        <w:t xml:space="preserve">For FBE test cases: RAN4 to define a DL LBT model that considers a probability of P = 0.75 for the transmission of each DRS. Only the first SSB candidate position for a given SSB index shall be considered in these tests. </w:t>
      </w:r>
    </w:p>
    <w:p w14:paraId="5242BCD7" w14:textId="61C64CCA" w:rsidR="00521D3D" w:rsidRDefault="00521D3D" w:rsidP="00521D3D">
      <w:pPr>
        <w:pStyle w:val="RAN4observation0"/>
      </w:pPr>
      <w:r>
        <w:t>There are several requirements that depend on the UL LBT failure.</w:t>
      </w:r>
    </w:p>
    <w:p w14:paraId="49A41CF6" w14:textId="77777777" w:rsidR="00521D3D" w:rsidRDefault="00521D3D" w:rsidP="00521D3D">
      <w:pPr>
        <w:pStyle w:val="RAN4observation0"/>
      </w:pPr>
      <w:r>
        <w:t>The only way to test UL LBT failure at the UE, is by the test equipment injecting a sufficiently high interference precisely at the time the UE should transmit.</w:t>
      </w:r>
    </w:p>
    <w:p w14:paraId="063774FC" w14:textId="77777777" w:rsidR="00521D3D" w:rsidRPr="00657754" w:rsidRDefault="00521D3D" w:rsidP="00521D3D">
      <w:pPr>
        <w:pStyle w:val="RAN4proposal"/>
        <w:rPr>
          <w:lang w:val="en-GB"/>
        </w:rPr>
      </w:pPr>
      <w:r w:rsidRPr="00657754">
        <w:rPr>
          <w:lang w:val="en-GB"/>
        </w:rPr>
        <w:t xml:space="preserve">RAN4 to </w:t>
      </w:r>
      <w:r>
        <w:rPr>
          <w:lang w:val="en-GB"/>
        </w:rPr>
        <w:t>discuss a</w:t>
      </w:r>
      <w:r w:rsidRPr="00657754">
        <w:rPr>
          <w:lang w:val="en-GB"/>
        </w:rPr>
        <w:t xml:space="preserve"> methodology to test UL LBT failures in RRM tests.</w:t>
      </w:r>
    </w:p>
    <w:p w14:paraId="655518BE" w14:textId="77777777" w:rsidR="00521D3D" w:rsidRDefault="00521D3D" w:rsidP="00521D3D">
      <w:pPr>
        <w:pStyle w:val="RAN4observation0"/>
      </w:pPr>
      <w:r>
        <w:t>RAN1 defined the RSSI measurement bandwidth as the channel bandwidth defined in 37.213. In 37.213, clause 4, the definition of a channel is: “</w:t>
      </w:r>
      <w:r w:rsidRPr="00774E64">
        <w:t>A channel refers to a carrier or a part of a carrier consisting of a contiguous set of resource blocks (RBs) on which a channel access procedure is performed in shared spectrum.</w:t>
      </w:r>
      <w:r>
        <w:t>”. Therefore, in RAN1 specification, the channel bandwidth is the LBT bandwidth.</w:t>
      </w:r>
    </w:p>
    <w:p w14:paraId="0CA32338" w14:textId="77777777" w:rsidR="00521D3D" w:rsidRDefault="00521D3D" w:rsidP="00521D3D">
      <w:pPr>
        <w:pStyle w:val="RAN4observation0"/>
      </w:pPr>
      <w:r>
        <w:t>RAN4 has agreed that the UE shall not normalize the RSSI measurement for reporting purpose.</w:t>
      </w:r>
    </w:p>
    <w:p w14:paraId="698AC7ED" w14:textId="77777777" w:rsidR="00521D3D" w:rsidRDefault="00521D3D" w:rsidP="00521D3D">
      <w:pPr>
        <w:pStyle w:val="RAN4observation0"/>
      </w:pPr>
      <w:r>
        <w:t xml:space="preserve">The only way to have consistent information about the RSSI measurement both at the </w:t>
      </w:r>
      <w:proofErr w:type="spellStart"/>
      <w:r>
        <w:t>gNB</w:t>
      </w:r>
      <w:proofErr w:type="spellEnd"/>
      <w:r>
        <w:t xml:space="preserve"> and at the UE is to define that the RSSI measurement bandwidth is the one already specified by RAN1.</w:t>
      </w:r>
    </w:p>
    <w:p w14:paraId="75E1EBD0" w14:textId="77777777" w:rsidR="00521D3D" w:rsidRDefault="00521D3D" w:rsidP="00521D3D">
      <w:pPr>
        <w:pStyle w:val="RAN4proposal"/>
      </w:pPr>
      <w:r>
        <w:t>The RSSI measurement bandwidth is the LBT bandwidth.</w:t>
      </w:r>
    </w:p>
    <w:p w14:paraId="35504032" w14:textId="77777777" w:rsidR="00521D3D" w:rsidRPr="00AD7F31" w:rsidRDefault="00521D3D" w:rsidP="00521D3D">
      <w:pPr>
        <w:pStyle w:val="RAN4observation0"/>
      </w:pPr>
      <w:r>
        <w:t xml:space="preserve">The agreed RSSI measurement report mapping in NR-U uses the same table as the one defined for LTE-LAA. </w:t>
      </w:r>
    </w:p>
    <w:p w14:paraId="5213AC6A" w14:textId="77777777" w:rsidR="00521D3D" w:rsidRPr="009C4FCB" w:rsidRDefault="00521D3D" w:rsidP="00521D3D">
      <w:pPr>
        <w:pStyle w:val="RAN4proposal"/>
      </w:pPr>
      <w:r w:rsidRPr="009C4FCB">
        <w:t xml:space="preserve">Define RSSI measurement accuracy requirements in NR-U to be the same as in LTE-LAA. </w:t>
      </w:r>
    </w:p>
    <w:p w14:paraId="15A5050C" w14:textId="77777777" w:rsidR="0009442D" w:rsidRPr="0026361E" w:rsidRDefault="0009442D" w:rsidP="0009442D">
      <w:pPr>
        <w:pStyle w:val="RAN4H1"/>
      </w:pPr>
      <w:r w:rsidRPr="0026361E">
        <w:t>References</w:t>
      </w:r>
    </w:p>
    <w:p w14:paraId="76BF52EE" w14:textId="77777777" w:rsidR="0009442D" w:rsidRDefault="0009442D" w:rsidP="0009442D">
      <w:pPr>
        <w:numPr>
          <w:ilvl w:val="0"/>
          <w:numId w:val="1"/>
        </w:numPr>
        <w:overflowPunct w:val="0"/>
        <w:autoSpaceDE w:val="0"/>
        <w:autoSpaceDN w:val="0"/>
        <w:adjustRightInd w:val="0"/>
        <w:spacing w:after="120" w:line="240" w:lineRule="auto"/>
        <w:jc w:val="both"/>
        <w:textAlignment w:val="baseline"/>
        <w:rPr>
          <w:lang w:val="en-GB"/>
        </w:rPr>
      </w:pPr>
      <w:r>
        <w:rPr>
          <w:lang w:val="en-GB"/>
        </w:rPr>
        <w:t>RP-192926, “</w:t>
      </w:r>
      <w:r w:rsidRPr="00635B1B">
        <w:rPr>
          <w:lang w:val="en-GB"/>
        </w:rPr>
        <w:t>Revised WID on NR-based Access to Unlicensed Spectrum</w:t>
      </w:r>
      <w:r>
        <w:rPr>
          <w:lang w:val="en-GB"/>
        </w:rPr>
        <w:t>”, Qualcomm Inc.</w:t>
      </w:r>
    </w:p>
    <w:p w14:paraId="24DD6FCB" w14:textId="77777777" w:rsidR="0009442D" w:rsidRDefault="0009442D" w:rsidP="0009442D">
      <w:pPr>
        <w:numPr>
          <w:ilvl w:val="0"/>
          <w:numId w:val="1"/>
        </w:numPr>
        <w:overflowPunct w:val="0"/>
        <w:autoSpaceDE w:val="0"/>
        <w:autoSpaceDN w:val="0"/>
        <w:adjustRightInd w:val="0"/>
        <w:spacing w:after="120" w:line="240" w:lineRule="auto"/>
        <w:jc w:val="both"/>
        <w:textAlignment w:val="baseline"/>
        <w:rPr>
          <w:lang w:val="en-GB"/>
        </w:rPr>
      </w:pPr>
      <w:r w:rsidRPr="00635B1B">
        <w:rPr>
          <w:lang w:val="en-GB"/>
        </w:rPr>
        <w:t>R4-1912662</w:t>
      </w:r>
      <w:r>
        <w:rPr>
          <w:lang w:val="en-GB"/>
        </w:rPr>
        <w:t>, “</w:t>
      </w:r>
      <w:r w:rsidRPr="00635B1B">
        <w:rPr>
          <w:lang w:val="en-GB"/>
        </w:rPr>
        <w:t>Outline specification structure for 36.133 and 38.133 NR-U requirements</w:t>
      </w:r>
      <w:r>
        <w:rPr>
          <w:lang w:val="en-GB"/>
        </w:rPr>
        <w:t>”, Ericsson.</w:t>
      </w:r>
    </w:p>
    <w:p w14:paraId="5E1697FC" w14:textId="77777777" w:rsidR="0009442D" w:rsidRPr="007F6555" w:rsidRDefault="0009442D" w:rsidP="0009442D">
      <w:pPr>
        <w:numPr>
          <w:ilvl w:val="0"/>
          <w:numId w:val="1"/>
        </w:numPr>
        <w:overflowPunct w:val="0"/>
        <w:autoSpaceDE w:val="0"/>
        <w:autoSpaceDN w:val="0"/>
        <w:adjustRightInd w:val="0"/>
        <w:spacing w:after="120" w:line="240" w:lineRule="auto"/>
        <w:jc w:val="both"/>
        <w:textAlignment w:val="baseline"/>
        <w:rPr>
          <w:lang w:val="en-GB"/>
        </w:rPr>
      </w:pPr>
      <w:r w:rsidRPr="00D771D9">
        <w:lastRenderedPageBreak/>
        <w:t>R4-2012293</w:t>
      </w:r>
      <w:r>
        <w:t>, “</w:t>
      </w:r>
      <w:r w:rsidRPr="00D771D9">
        <w:t>WF on NR-U RRM (Part 3)</w:t>
      </w:r>
      <w:r>
        <w:t>”, Nokia, Nokia Shanghai Bell.</w:t>
      </w:r>
    </w:p>
    <w:p w14:paraId="23D18533" w14:textId="77777777" w:rsidR="0009442D" w:rsidRPr="00EC7D2F" w:rsidRDefault="0009442D" w:rsidP="0009442D">
      <w:pPr>
        <w:numPr>
          <w:ilvl w:val="0"/>
          <w:numId w:val="1"/>
        </w:numPr>
        <w:overflowPunct w:val="0"/>
        <w:autoSpaceDE w:val="0"/>
        <w:autoSpaceDN w:val="0"/>
        <w:adjustRightInd w:val="0"/>
        <w:spacing w:after="120" w:line="240" w:lineRule="auto"/>
        <w:jc w:val="both"/>
        <w:textAlignment w:val="baseline"/>
        <w:rPr>
          <w:lang w:val="en-GB"/>
        </w:rPr>
      </w:pPr>
      <w:r>
        <w:t>R4-1912662, “</w:t>
      </w:r>
      <w:r w:rsidRPr="007F6555">
        <w:t>Outline specification structure for 36.133 and 38.133 NR-U requirements</w:t>
      </w:r>
      <w:r>
        <w:t>”, Ericsson, RAN4 #92bis.</w:t>
      </w:r>
    </w:p>
    <w:p w14:paraId="37EFC986" w14:textId="3FD630DC" w:rsidR="0009442D" w:rsidRPr="00830DD7" w:rsidRDefault="0009442D" w:rsidP="0009442D">
      <w:pPr>
        <w:numPr>
          <w:ilvl w:val="0"/>
          <w:numId w:val="1"/>
        </w:numPr>
        <w:overflowPunct w:val="0"/>
        <w:autoSpaceDE w:val="0"/>
        <w:autoSpaceDN w:val="0"/>
        <w:adjustRightInd w:val="0"/>
        <w:spacing w:after="120" w:line="240" w:lineRule="auto"/>
        <w:jc w:val="both"/>
        <w:textAlignment w:val="baseline"/>
        <w:rPr>
          <w:lang w:val="en-GB"/>
        </w:rPr>
      </w:pPr>
      <w:r>
        <w:t>TS 36.133, “</w:t>
      </w:r>
      <w:r w:rsidRPr="00EC7D2F">
        <w:t>Evolved Universal Terrestrial Radio Access (E-UTRA); Requirements for support of radio resource management</w:t>
      </w:r>
      <w:r>
        <w:t>”.</w:t>
      </w:r>
    </w:p>
    <w:p w14:paraId="171D4AE8" w14:textId="70BE7011" w:rsidR="00830DD7" w:rsidRPr="00444E74" w:rsidRDefault="00830DD7" w:rsidP="0009442D">
      <w:pPr>
        <w:numPr>
          <w:ilvl w:val="0"/>
          <w:numId w:val="1"/>
        </w:numPr>
        <w:overflowPunct w:val="0"/>
        <w:autoSpaceDE w:val="0"/>
        <w:autoSpaceDN w:val="0"/>
        <w:adjustRightInd w:val="0"/>
        <w:spacing w:after="120" w:line="240" w:lineRule="auto"/>
        <w:jc w:val="both"/>
        <w:textAlignment w:val="baseline"/>
        <w:rPr>
          <w:lang w:val="en-GB"/>
        </w:rPr>
      </w:pPr>
      <w:r>
        <w:t>R4-2007265, “RSSI and Channel Occupancy Measurements in NR-U”, Nokia, Nokia Shanghai Bell.</w:t>
      </w:r>
    </w:p>
    <w:p w14:paraId="54DE1D95" w14:textId="40651CEB" w:rsidR="00444E74" w:rsidRDefault="00444E74" w:rsidP="0009442D">
      <w:pPr>
        <w:numPr>
          <w:ilvl w:val="0"/>
          <w:numId w:val="1"/>
        </w:numPr>
        <w:overflowPunct w:val="0"/>
        <w:autoSpaceDE w:val="0"/>
        <w:autoSpaceDN w:val="0"/>
        <w:adjustRightInd w:val="0"/>
        <w:spacing w:after="120" w:line="240" w:lineRule="auto"/>
        <w:jc w:val="both"/>
        <w:textAlignment w:val="baseline"/>
      </w:pPr>
      <w:bookmarkStart w:id="16" w:name="_Ref53995126"/>
      <w:r w:rsidRPr="00444E74">
        <w:t>R4-2005375, “WF on NR-U RRM (Part</w:t>
      </w:r>
      <w:r>
        <w:t xml:space="preserve"> 3)”, Nokia, Nokia Shanghai Bell</w:t>
      </w:r>
      <w:bookmarkEnd w:id="16"/>
    </w:p>
    <w:p w14:paraId="02132AC8" w14:textId="36926BB5" w:rsidR="00AD7F31" w:rsidRPr="00AD7F31" w:rsidRDefault="00AD7F31" w:rsidP="0009442D">
      <w:pPr>
        <w:numPr>
          <w:ilvl w:val="0"/>
          <w:numId w:val="1"/>
        </w:numPr>
        <w:overflowPunct w:val="0"/>
        <w:autoSpaceDE w:val="0"/>
        <w:autoSpaceDN w:val="0"/>
        <w:adjustRightInd w:val="0"/>
        <w:spacing w:after="120" w:line="240" w:lineRule="auto"/>
        <w:jc w:val="both"/>
        <w:textAlignment w:val="baseline"/>
      </w:pPr>
      <w:r w:rsidRPr="00AD7F31">
        <w:t>R4-2012274, “WF on NR-U RRM (Part</w:t>
      </w:r>
      <w:r>
        <w:t xml:space="preserve"> 3)”, Nokia, Nokia Shanghai Bell</w:t>
      </w:r>
    </w:p>
    <w:p w14:paraId="57132CA8" w14:textId="77777777" w:rsidR="0009442D" w:rsidRPr="00AD7F31" w:rsidRDefault="0009442D" w:rsidP="0009442D">
      <w:pPr>
        <w:overflowPunct w:val="0"/>
        <w:autoSpaceDE w:val="0"/>
        <w:autoSpaceDN w:val="0"/>
        <w:adjustRightInd w:val="0"/>
        <w:spacing w:after="120" w:line="240" w:lineRule="auto"/>
        <w:ind w:left="360"/>
        <w:jc w:val="both"/>
        <w:textAlignment w:val="baseline"/>
      </w:pPr>
    </w:p>
    <w:sectPr w:rsidR="0009442D" w:rsidRPr="00AD7F31" w:rsidSect="00806A76">
      <w:headerReference w:type="even" r:id="rId13"/>
      <w:headerReference w:type="default" r:id="rId14"/>
      <w:footerReference w:type="even" r:id="rId15"/>
      <w:footerReference w:type="default" r:id="rId16"/>
      <w:headerReference w:type="first" r:id="rId17"/>
      <w:footerReference w:type="first" r:id="rI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A9B41" w14:textId="77777777" w:rsidR="009C4FCB" w:rsidRDefault="009C4FCB" w:rsidP="00001C9B">
      <w:pPr>
        <w:spacing w:after="0" w:line="240" w:lineRule="auto"/>
      </w:pPr>
      <w:r>
        <w:separator/>
      </w:r>
    </w:p>
  </w:endnote>
  <w:endnote w:type="continuationSeparator" w:id="0">
    <w:p w14:paraId="0CD66FEA" w14:textId="77777777" w:rsidR="009C4FCB" w:rsidRDefault="009C4FCB" w:rsidP="00001C9B">
      <w:pPr>
        <w:spacing w:after="0" w:line="240" w:lineRule="auto"/>
      </w:pPr>
      <w:r>
        <w:continuationSeparator/>
      </w:r>
    </w:p>
  </w:endnote>
  <w:endnote w:type="continuationNotice" w:id="1">
    <w:p w14:paraId="2BFCECD3" w14:textId="77777777" w:rsidR="0023762E" w:rsidRDefault="002376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DFA2" w14:textId="77777777" w:rsidR="009C4FCB" w:rsidRDefault="009C4F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08219" w14:textId="77777777" w:rsidR="009C4FCB" w:rsidRDefault="009C4F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AC68" w14:textId="77777777" w:rsidR="009C4FCB" w:rsidRDefault="009C4F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4224B" w14:textId="77777777" w:rsidR="009C4FCB" w:rsidRDefault="009C4FCB" w:rsidP="00001C9B">
      <w:pPr>
        <w:spacing w:after="0" w:line="240" w:lineRule="auto"/>
      </w:pPr>
      <w:r>
        <w:separator/>
      </w:r>
    </w:p>
  </w:footnote>
  <w:footnote w:type="continuationSeparator" w:id="0">
    <w:p w14:paraId="421BA318" w14:textId="77777777" w:rsidR="009C4FCB" w:rsidRDefault="009C4FCB" w:rsidP="00001C9B">
      <w:pPr>
        <w:spacing w:after="0" w:line="240" w:lineRule="auto"/>
      </w:pPr>
      <w:r>
        <w:continuationSeparator/>
      </w:r>
    </w:p>
  </w:footnote>
  <w:footnote w:type="continuationNotice" w:id="1">
    <w:p w14:paraId="4FC67C5F" w14:textId="77777777" w:rsidR="0023762E" w:rsidRDefault="002376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ACF1C" w14:textId="77777777" w:rsidR="009C4FCB" w:rsidRDefault="009C4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E5B8D" w14:textId="77777777" w:rsidR="009C4FCB" w:rsidRDefault="009C4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EC6B" w14:textId="77777777" w:rsidR="009C4FCB" w:rsidRDefault="009C4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C44"/>
    <w:multiLevelType w:val="multilevel"/>
    <w:tmpl w:val="DF10E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0F2338"/>
    <w:multiLevelType w:val="hybridMultilevel"/>
    <w:tmpl w:val="982667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621" w:hanging="360"/>
      </w:pPr>
    </w:lvl>
    <w:lvl w:ilvl="2" w:tplc="0409001B" w:tentative="1">
      <w:start w:val="1"/>
      <w:numFmt w:val="lowerRoman"/>
      <w:lvlText w:val="%3."/>
      <w:lvlJc w:val="right"/>
      <w:pPr>
        <w:ind w:left="99" w:hanging="180"/>
      </w:pPr>
    </w:lvl>
    <w:lvl w:ilvl="3" w:tplc="0409000F" w:tentative="1">
      <w:start w:val="1"/>
      <w:numFmt w:val="decimal"/>
      <w:lvlText w:val="%4."/>
      <w:lvlJc w:val="left"/>
      <w:pPr>
        <w:ind w:left="819" w:hanging="360"/>
      </w:pPr>
    </w:lvl>
    <w:lvl w:ilvl="4" w:tplc="04090019" w:tentative="1">
      <w:start w:val="1"/>
      <w:numFmt w:val="lowerLetter"/>
      <w:lvlText w:val="%5."/>
      <w:lvlJc w:val="left"/>
      <w:pPr>
        <w:ind w:left="1539" w:hanging="360"/>
      </w:pPr>
    </w:lvl>
    <w:lvl w:ilvl="5" w:tplc="0409001B" w:tentative="1">
      <w:start w:val="1"/>
      <w:numFmt w:val="lowerRoman"/>
      <w:lvlText w:val="%6."/>
      <w:lvlJc w:val="right"/>
      <w:pPr>
        <w:ind w:left="2259" w:hanging="180"/>
      </w:pPr>
    </w:lvl>
    <w:lvl w:ilvl="6" w:tplc="0409000F" w:tentative="1">
      <w:start w:val="1"/>
      <w:numFmt w:val="decimal"/>
      <w:lvlText w:val="%7."/>
      <w:lvlJc w:val="left"/>
      <w:pPr>
        <w:ind w:left="2979" w:hanging="360"/>
      </w:pPr>
    </w:lvl>
    <w:lvl w:ilvl="7" w:tplc="04090019" w:tentative="1">
      <w:start w:val="1"/>
      <w:numFmt w:val="lowerLetter"/>
      <w:lvlText w:val="%8."/>
      <w:lvlJc w:val="left"/>
      <w:pPr>
        <w:ind w:left="3699" w:hanging="360"/>
      </w:pPr>
    </w:lvl>
    <w:lvl w:ilvl="8" w:tplc="0409001B" w:tentative="1">
      <w:start w:val="1"/>
      <w:numFmt w:val="lowerRoman"/>
      <w:lvlText w:val="%9."/>
      <w:lvlJc w:val="right"/>
      <w:pPr>
        <w:ind w:left="4419" w:hanging="180"/>
      </w:pPr>
    </w:lvl>
  </w:abstractNum>
  <w:abstractNum w:abstractNumId="6" w15:restartNumberingAfterBreak="0">
    <w:nsid w:val="4A0147CC"/>
    <w:multiLevelType w:val="hybridMultilevel"/>
    <w:tmpl w:val="6158C1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AB96C45"/>
    <w:multiLevelType w:val="hybridMultilevel"/>
    <w:tmpl w:val="A3BE493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4D6E3167"/>
    <w:multiLevelType w:val="hybridMultilevel"/>
    <w:tmpl w:val="E2AA4AB6"/>
    <w:lvl w:ilvl="0" w:tplc="7B62FD82">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6C54F4"/>
    <w:multiLevelType w:val="hybridMultilevel"/>
    <w:tmpl w:val="C930EC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5C217B"/>
    <w:multiLevelType w:val="multilevel"/>
    <w:tmpl w:val="A9FCC05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939771C"/>
    <w:multiLevelType w:val="hybridMultilevel"/>
    <w:tmpl w:val="A2AC0A8E"/>
    <w:lvl w:ilvl="0" w:tplc="53CC4E84">
      <w:start w:val="8"/>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840A3B"/>
    <w:multiLevelType w:val="hybridMultilevel"/>
    <w:tmpl w:val="73BED12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70412A70"/>
    <w:multiLevelType w:val="hybridMultilevel"/>
    <w:tmpl w:val="5294927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3F1B02"/>
    <w:multiLevelType w:val="hybridMultilevel"/>
    <w:tmpl w:val="4552BCF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7E1B257B"/>
    <w:multiLevelType w:val="hybridMultilevel"/>
    <w:tmpl w:val="1FE04C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5"/>
  </w:num>
  <w:num w:numId="4">
    <w:abstractNumId w:val="8"/>
  </w:num>
  <w:num w:numId="5">
    <w:abstractNumId w:val="12"/>
  </w:num>
  <w:num w:numId="6">
    <w:abstractNumId w:val="11"/>
  </w:num>
  <w:num w:numId="7">
    <w:abstractNumId w:val="0"/>
  </w:num>
  <w:num w:numId="8">
    <w:abstractNumId w:val="3"/>
  </w:num>
  <w:num w:numId="9">
    <w:abstractNumId w:val="10"/>
  </w:num>
  <w:num w:numId="10">
    <w:abstractNumId w:val="6"/>
  </w:num>
  <w:num w:numId="11">
    <w:abstractNumId w:val="19"/>
  </w:num>
  <w:num w:numId="12">
    <w:abstractNumId w:val="17"/>
  </w:num>
  <w:num w:numId="13">
    <w:abstractNumId w:val="2"/>
  </w:num>
  <w:num w:numId="14">
    <w:abstractNumId w:val="14"/>
  </w:num>
  <w:num w:numId="15">
    <w:abstractNumId w:val="4"/>
  </w:num>
  <w:num w:numId="16">
    <w:abstractNumId w:val="15"/>
  </w:num>
  <w:num w:numId="17">
    <w:abstractNumId w:val="16"/>
  </w:num>
  <w:num w:numId="18">
    <w:abstractNumId w:val="18"/>
  </w:num>
  <w:num w:numId="19">
    <w:abstractNumId w:val="7"/>
  </w:num>
  <w:num w:numId="20">
    <w:abstractNumId w:val="13"/>
  </w:num>
  <w:num w:numId="21">
    <w:abstractNumId w:val="5"/>
    <w:lvlOverride w:ilvl="0">
      <w:startOverride w:val="1"/>
    </w:lvlOverride>
  </w:num>
  <w:num w:numId="22">
    <w:abstractNumId w:val="8"/>
    <w:lvlOverride w:ilvl="0">
      <w:startOverride w:val="1"/>
    </w:lvlOverride>
  </w:num>
  <w:num w:numId="23">
    <w:abstractNumId w:val="8"/>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D5"/>
    <w:rsid w:val="00003E78"/>
    <w:rsid w:val="000041F4"/>
    <w:rsid w:val="00004F9F"/>
    <w:rsid w:val="00006244"/>
    <w:rsid w:val="00010410"/>
    <w:rsid w:val="0001102A"/>
    <w:rsid w:val="0001106A"/>
    <w:rsid w:val="00011932"/>
    <w:rsid w:val="000202FE"/>
    <w:rsid w:val="00022E73"/>
    <w:rsid w:val="00024FD5"/>
    <w:rsid w:val="000317AF"/>
    <w:rsid w:val="000352D0"/>
    <w:rsid w:val="00036C5A"/>
    <w:rsid w:val="00043B42"/>
    <w:rsid w:val="00044B93"/>
    <w:rsid w:val="000477A5"/>
    <w:rsid w:val="00050471"/>
    <w:rsid w:val="0005653B"/>
    <w:rsid w:val="00056BE6"/>
    <w:rsid w:val="00061ED2"/>
    <w:rsid w:val="00062422"/>
    <w:rsid w:val="00062B17"/>
    <w:rsid w:val="00076E0F"/>
    <w:rsid w:val="00081602"/>
    <w:rsid w:val="0008612A"/>
    <w:rsid w:val="000932F3"/>
    <w:rsid w:val="0009442D"/>
    <w:rsid w:val="000A13AF"/>
    <w:rsid w:val="000A415A"/>
    <w:rsid w:val="000A4B43"/>
    <w:rsid w:val="000A5774"/>
    <w:rsid w:val="000A7042"/>
    <w:rsid w:val="000A7425"/>
    <w:rsid w:val="000B0056"/>
    <w:rsid w:val="000B5D76"/>
    <w:rsid w:val="000C0CEE"/>
    <w:rsid w:val="000C0FC6"/>
    <w:rsid w:val="000C3927"/>
    <w:rsid w:val="000D5C37"/>
    <w:rsid w:val="000E0A06"/>
    <w:rsid w:val="000E1266"/>
    <w:rsid w:val="000E4885"/>
    <w:rsid w:val="000E5F44"/>
    <w:rsid w:val="000F62BD"/>
    <w:rsid w:val="00103938"/>
    <w:rsid w:val="00106440"/>
    <w:rsid w:val="00116881"/>
    <w:rsid w:val="00117209"/>
    <w:rsid w:val="001206ED"/>
    <w:rsid w:val="0012284F"/>
    <w:rsid w:val="00123653"/>
    <w:rsid w:val="00131F8A"/>
    <w:rsid w:val="0013318C"/>
    <w:rsid w:val="00133647"/>
    <w:rsid w:val="00133FF6"/>
    <w:rsid w:val="0015673C"/>
    <w:rsid w:val="0016164D"/>
    <w:rsid w:val="00162773"/>
    <w:rsid w:val="00163687"/>
    <w:rsid w:val="0017314A"/>
    <w:rsid w:val="001745F8"/>
    <w:rsid w:val="00176671"/>
    <w:rsid w:val="001831A4"/>
    <w:rsid w:val="001838CF"/>
    <w:rsid w:val="001917C8"/>
    <w:rsid w:val="00192D16"/>
    <w:rsid w:val="001A0AEC"/>
    <w:rsid w:val="001A1607"/>
    <w:rsid w:val="001A2AB2"/>
    <w:rsid w:val="001A3DB7"/>
    <w:rsid w:val="001A4424"/>
    <w:rsid w:val="001A5A1E"/>
    <w:rsid w:val="001A7A28"/>
    <w:rsid w:val="001B01FF"/>
    <w:rsid w:val="001B6DB8"/>
    <w:rsid w:val="001C1C2F"/>
    <w:rsid w:val="001C2F6D"/>
    <w:rsid w:val="001C391E"/>
    <w:rsid w:val="001C5343"/>
    <w:rsid w:val="001C7213"/>
    <w:rsid w:val="001C7CBB"/>
    <w:rsid w:val="001D25E5"/>
    <w:rsid w:val="001D385C"/>
    <w:rsid w:val="001D7241"/>
    <w:rsid w:val="001E0AF5"/>
    <w:rsid w:val="001E30F6"/>
    <w:rsid w:val="001E4BF6"/>
    <w:rsid w:val="001E760F"/>
    <w:rsid w:val="001F22FF"/>
    <w:rsid w:val="001F39A1"/>
    <w:rsid w:val="001F72B8"/>
    <w:rsid w:val="002026A7"/>
    <w:rsid w:val="002050D6"/>
    <w:rsid w:val="002055E9"/>
    <w:rsid w:val="00206DED"/>
    <w:rsid w:val="00216C32"/>
    <w:rsid w:val="00216C6F"/>
    <w:rsid w:val="00227865"/>
    <w:rsid w:val="00227C76"/>
    <w:rsid w:val="002311B3"/>
    <w:rsid w:val="00235F5C"/>
    <w:rsid w:val="00236EEC"/>
    <w:rsid w:val="0023762E"/>
    <w:rsid w:val="0024307F"/>
    <w:rsid w:val="002459A2"/>
    <w:rsid w:val="002464FC"/>
    <w:rsid w:val="00253A21"/>
    <w:rsid w:val="00262307"/>
    <w:rsid w:val="002632C2"/>
    <w:rsid w:val="0026361E"/>
    <w:rsid w:val="0026672B"/>
    <w:rsid w:val="00276955"/>
    <w:rsid w:val="00276E4C"/>
    <w:rsid w:val="0028110A"/>
    <w:rsid w:val="0028714D"/>
    <w:rsid w:val="00287622"/>
    <w:rsid w:val="00290483"/>
    <w:rsid w:val="00290762"/>
    <w:rsid w:val="002908AD"/>
    <w:rsid w:val="00292F23"/>
    <w:rsid w:val="00297669"/>
    <w:rsid w:val="002A0E86"/>
    <w:rsid w:val="002A67EE"/>
    <w:rsid w:val="002B2FD1"/>
    <w:rsid w:val="002B4922"/>
    <w:rsid w:val="002B65FB"/>
    <w:rsid w:val="002B7500"/>
    <w:rsid w:val="002C2D19"/>
    <w:rsid w:val="002C472E"/>
    <w:rsid w:val="002D10FA"/>
    <w:rsid w:val="002D1FA3"/>
    <w:rsid w:val="002D3976"/>
    <w:rsid w:val="002D4C55"/>
    <w:rsid w:val="002D6E9D"/>
    <w:rsid w:val="002D7994"/>
    <w:rsid w:val="002E013A"/>
    <w:rsid w:val="002E600B"/>
    <w:rsid w:val="002F378F"/>
    <w:rsid w:val="00302691"/>
    <w:rsid w:val="0030290E"/>
    <w:rsid w:val="003043F0"/>
    <w:rsid w:val="0032150B"/>
    <w:rsid w:val="003240C0"/>
    <w:rsid w:val="0032739D"/>
    <w:rsid w:val="00330891"/>
    <w:rsid w:val="00330A60"/>
    <w:rsid w:val="003328BF"/>
    <w:rsid w:val="00334F76"/>
    <w:rsid w:val="00335466"/>
    <w:rsid w:val="003432EC"/>
    <w:rsid w:val="00350B61"/>
    <w:rsid w:val="00351133"/>
    <w:rsid w:val="00351916"/>
    <w:rsid w:val="0035215E"/>
    <w:rsid w:val="0035587B"/>
    <w:rsid w:val="00356D91"/>
    <w:rsid w:val="00363CF1"/>
    <w:rsid w:val="00372EC8"/>
    <w:rsid w:val="00374F2B"/>
    <w:rsid w:val="003806B2"/>
    <w:rsid w:val="00382D55"/>
    <w:rsid w:val="00393374"/>
    <w:rsid w:val="003961EF"/>
    <w:rsid w:val="003A0B2C"/>
    <w:rsid w:val="003A1446"/>
    <w:rsid w:val="003A2AB1"/>
    <w:rsid w:val="003A2ED7"/>
    <w:rsid w:val="003A69D3"/>
    <w:rsid w:val="003B10F5"/>
    <w:rsid w:val="003B659E"/>
    <w:rsid w:val="003C21A7"/>
    <w:rsid w:val="003D272A"/>
    <w:rsid w:val="003D5877"/>
    <w:rsid w:val="003D648B"/>
    <w:rsid w:val="003E4A0C"/>
    <w:rsid w:val="003E4D8E"/>
    <w:rsid w:val="003F6CDF"/>
    <w:rsid w:val="00400CFA"/>
    <w:rsid w:val="004020DD"/>
    <w:rsid w:val="0040297D"/>
    <w:rsid w:val="00406FD7"/>
    <w:rsid w:val="004070A6"/>
    <w:rsid w:val="004103BA"/>
    <w:rsid w:val="00411962"/>
    <w:rsid w:val="00417AA0"/>
    <w:rsid w:val="004219FF"/>
    <w:rsid w:val="004306EB"/>
    <w:rsid w:val="00430986"/>
    <w:rsid w:val="00431DFF"/>
    <w:rsid w:val="004330B9"/>
    <w:rsid w:val="0043533F"/>
    <w:rsid w:val="0043750A"/>
    <w:rsid w:val="00443292"/>
    <w:rsid w:val="00443555"/>
    <w:rsid w:val="00444E74"/>
    <w:rsid w:val="00452475"/>
    <w:rsid w:val="00457C9A"/>
    <w:rsid w:val="00467828"/>
    <w:rsid w:val="00477A82"/>
    <w:rsid w:val="004868B9"/>
    <w:rsid w:val="00491F74"/>
    <w:rsid w:val="004A04E9"/>
    <w:rsid w:val="004A070F"/>
    <w:rsid w:val="004A3A29"/>
    <w:rsid w:val="004A59E7"/>
    <w:rsid w:val="004B00D8"/>
    <w:rsid w:val="004B28BE"/>
    <w:rsid w:val="004B3719"/>
    <w:rsid w:val="004B3F62"/>
    <w:rsid w:val="004B415E"/>
    <w:rsid w:val="004B7B4A"/>
    <w:rsid w:val="004C076B"/>
    <w:rsid w:val="004C390F"/>
    <w:rsid w:val="004C6014"/>
    <w:rsid w:val="004C6439"/>
    <w:rsid w:val="004D36BD"/>
    <w:rsid w:val="004D3901"/>
    <w:rsid w:val="004D3E07"/>
    <w:rsid w:val="004D7304"/>
    <w:rsid w:val="004E3347"/>
    <w:rsid w:val="004E5E66"/>
    <w:rsid w:val="004F5AEA"/>
    <w:rsid w:val="004F5BBA"/>
    <w:rsid w:val="004F7556"/>
    <w:rsid w:val="00500F99"/>
    <w:rsid w:val="00502FC9"/>
    <w:rsid w:val="005035A9"/>
    <w:rsid w:val="00503B4D"/>
    <w:rsid w:val="00504B81"/>
    <w:rsid w:val="00504EE9"/>
    <w:rsid w:val="00506A65"/>
    <w:rsid w:val="005128FE"/>
    <w:rsid w:val="005211AA"/>
    <w:rsid w:val="0052142E"/>
    <w:rsid w:val="00521D3D"/>
    <w:rsid w:val="00525EB2"/>
    <w:rsid w:val="00535EDE"/>
    <w:rsid w:val="00537573"/>
    <w:rsid w:val="00541D6F"/>
    <w:rsid w:val="0054442C"/>
    <w:rsid w:val="005446C9"/>
    <w:rsid w:val="00547ADA"/>
    <w:rsid w:val="00547DCB"/>
    <w:rsid w:val="00550248"/>
    <w:rsid w:val="00550285"/>
    <w:rsid w:val="00550801"/>
    <w:rsid w:val="00553F62"/>
    <w:rsid w:val="00576734"/>
    <w:rsid w:val="00576A50"/>
    <w:rsid w:val="005836F8"/>
    <w:rsid w:val="00586488"/>
    <w:rsid w:val="005918FA"/>
    <w:rsid w:val="00594F5B"/>
    <w:rsid w:val="005A110B"/>
    <w:rsid w:val="005A1FBC"/>
    <w:rsid w:val="005B7F0C"/>
    <w:rsid w:val="005C0C50"/>
    <w:rsid w:val="005C4F3E"/>
    <w:rsid w:val="005C7C16"/>
    <w:rsid w:val="005D1CCC"/>
    <w:rsid w:val="005D3504"/>
    <w:rsid w:val="005D3CA0"/>
    <w:rsid w:val="005D4A5A"/>
    <w:rsid w:val="005D7A61"/>
    <w:rsid w:val="005E2AEC"/>
    <w:rsid w:val="005E61A8"/>
    <w:rsid w:val="005E6A21"/>
    <w:rsid w:val="005E72E4"/>
    <w:rsid w:val="005E7BF3"/>
    <w:rsid w:val="005F6419"/>
    <w:rsid w:val="00600A2C"/>
    <w:rsid w:val="00601B8A"/>
    <w:rsid w:val="006045C1"/>
    <w:rsid w:val="006159DB"/>
    <w:rsid w:val="00617400"/>
    <w:rsid w:val="00617A6D"/>
    <w:rsid w:val="0062190A"/>
    <w:rsid w:val="0062479E"/>
    <w:rsid w:val="00632F24"/>
    <w:rsid w:val="00635B1B"/>
    <w:rsid w:val="0063664D"/>
    <w:rsid w:val="006372D0"/>
    <w:rsid w:val="00641FDF"/>
    <w:rsid w:val="00645499"/>
    <w:rsid w:val="006509D4"/>
    <w:rsid w:val="00653634"/>
    <w:rsid w:val="0065377A"/>
    <w:rsid w:val="00657754"/>
    <w:rsid w:val="00664950"/>
    <w:rsid w:val="00664FB8"/>
    <w:rsid w:val="00673526"/>
    <w:rsid w:val="0067501F"/>
    <w:rsid w:val="0068006A"/>
    <w:rsid w:val="006801CD"/>
    <w:rsid w:val="00683220"/>
    <w:rsid w:val="0068506D"/>
    <w:rsid w:val="0068766A"/>
    <w:rsid w:val="00687C4D"/>
    <w:rsid w:val="00687C88"/>
    <w:rsid w:val="00687FA0"/>
    <w:rsid w:val="006B390B"/>
    <w:rsid w:val="006B46E4"/>
    <w:rsid w:val="006B62B3"/>
    <w:rsid w:val="006B7010"/>
    <w:rsid w:val="006B7F07"/>
    <w:rsid w:val="006C1B0B"/>
    <w:rsid w:val="006C36C8"/>
    <w:rsid w:val="006D0A60"/>
    <w:rsid w:val="006D34E1"/>
    <w:rsid w:val="006D482B"/>
    <w:rsid w:val="006D4859"/>
    <w:rsid w:val="006E12CC"/>
    <w:rsid w:val="006E3BB8"/>
    <w:rsid w:val="006E5225"/>
    <w:rsid w:val="006F04ED"/>
    <w:rsid w:val="006F5245"/>
    <w:rsid w:val="006F5EFB"/>
    <w:rsid w:val="006F656D"/>
    <w:rsid w:val="006F6E03"/>
    <w:rsid w:val="00701001"/>
    <w:rsid w:val="00706467"/>
    <w:rsid w:val="007066A1"/>
    <w:rsid w:val="00707E6D"/>
    <w:rsid w:val="00710200"/>
    <w:rsid w:val="0071353B"/>
    <w:rsid w:val="007145FF"/>
    <w:rsid w:val="0071727D"/>
    <w:rsid w:val="007174BD"/>
    <w:rsid w:val="0071797D"/>
    <w:rsid w:val="00720EB0"/>
    <w:rsid w:val="007244AF"/>
    <w:rsid w:val="007251F6"/>
    <w:rsid w:val="0072578C"/>
    <w:rsid w:val="00751515"/>
    <w:rsid w:val="00762FEF"/>
    <w:rsid w:val="007672CF"/>
    <w:rsid w:val="0076795A"/>
    <w:rsid w:val="00773D5B"/>
    <w:rsid w:val="00773F60"/>
    <w:rsid w:val="00774E64"/>
    <w:rsid w:val="0078029C"/>
    <w:rsid w:val="00781F79"/>
    <w:rsid w:val="00784F9B"/>
    <w:rsid w:val="00785232"/>
    <w:rsid w:val="00785959"/>
    <w:rsid w:val="007920DC"/>
    <w:rsid w:val="0079664B"/>
    <w:rsid w:val="007971F6"/>
    <w:rsid w:val="0079771E"/>
    <w:rsid w:val="007A00A3"/>
    <w:rsid w:val="007A2844"/>
    <w:rsid w:val="007B14DF"/>
    <w:rsid w:val="007B22B4"/>
    <w:rsid w:val="007B3826"/>
    <w:rsid w:val="007C21E1"/>
    <w:rsid w:val="007C3D2D"/>
    <w:rsid w:val="007C3ED0"/>
    <w:rsid w:val="007D083F"/>
    <w:rsid w:val="007E088F"/>
    <w:rsid w:val="007E7D45"/>
    <w:rsid w:val="007F0860"/>
    <w:rsid w:val="007F6555"/>
    <w:rsid w:val="007F7AE4"/>
    <w:rsid w:val="00800A6F"/>
    <w:rsid w:val="00802843"/>
    <w:rsid w:val="00806A76"/>
    <w:rsid w:val="0081088C"/>
    <w:rsid w:val="00811C9D"/>
    <w:rsid w:val="00815076"/>
    <w:rsid w:val="00815E58"/>
    <w:rsid w:val="00816C80"/>
    <w:rsid w:val="00830DD7"/>
    <w:rsid w:val="00831FC4"/>
    <w:rsid w:val="0083230C"/>
    <w:rsid w:val="00833C49"/>
    <w:rsid w:val="008345C8"/>
    <w:rsid w:val="008357FD"/>
    <w:rsid w:val="00836D14"/>
    <w:rsid w:val="00836E5C"/>
    <w:rsid w:val="00841BCD"/>
    <w:rsid w:val="00844CD1"/>
    <w:rsid w:val="00844F02"/>
    <w:rsid w:val="00846796"/>
    <w:rsid w:val="008525CF"/>
    <w:rsid w:val="00856C41"/>
    <w:rsid w:val="00861942"/>
    <w:rsid w:val="00862F63"/>
    <w:rsid w:val="00863D00"/>
    <w:rsid w:val="00864914"/>
    <w:rsid w:val="00874E4A"/>
    <w:rsid w:val="00877F72"/>
    <w:rsid w:val="00882215"/>
    <w:rsid w:val="008826C1"/>
    <w:rsid w:val="00891875"/>
    <w:rsid w:val="00895B3B"/>
    <w:rsid w:val="008A3BAE"/>
    <w:rsid w:val="008A4E12"/>
    <w:rsid w:val="008B1FD3"/>
    <w:rsid w:val="008C1773"/>
    <w:rsid w:val="008C51B3"/>
    <w:rsid w:val="008E0D66"/>
    <w:rsid w:val="008F1542"/>
    <w:rsid w:val="008F395B"/>
    <w:rsid w:val="00900597"/>
    <w:rsid w:val="009019F8"/>
    <w:rsid w:val="009042BD"/>
    <w:rsid w:val="0090529C"/>
    <w:rsid w:val="00912CDE"/>
    <w:rsid w:val="00916E5C"/>
    <w:rsid w:val="00924824"/>
    <w:rsid w:val="0092644A"/>
    <w:rsid w:val="00926AF1"/>
    <w:rsid w:val="00935EDA"/>
    <w:rsid w:val="00937EAA"/>
    <w:rsid w:val="009404D7"/>
    <w:rsid w:val="009429F2"/>
    <w:rsid w:val="009433A2"/>
    <w:rsid w:val="00947337"/>
    <w:rsid w:val="009526F0"/>
    <w:rsid w:val="00953335"/>
    <w:rsid w:val="009541B5"/>
    <w:rsid w:val="0095614D"/>
    <w:rsid w:val="0095749A"/>
    <w:rsid w:val="00960DDE"/>
    <w:rsid w:val="0096301E"/>
    <w:rsid w:val="0096614E"/>
    <w:rsid w:val="00967038"/>
    <w:rsid w:val="009671FE"/>
    <w:rsid w:val="00977A8C"/>
    <w:rsid w:val="00977E1D"/>
    <w:rsid w:val="00993503"/>
    <w:rsid w:val="009A479F"/>
    <w:rsid w:val="009B0970"/>
    <w:rsid w:val="009B3993"/>
    <w:rsid w:val="009B42BF"/>
    <w:rsid w:val="009B594B"/>
    <w:rsid w:val="009C0D23"/>
    <w:rsid w:val="009C2A52"/>
    <w:rsid w:val="009C4FCB"/>
    <w:rsid w:val="009C6FAD"/>
    <w:rsid w:val="009D05C9"/>
    <w:rsid w:val="009D482A"/>
    <w:rsid w:val="009E2965"/>
    <w:rsid w:val="009E6ACE"/>
    <w:rsid w:val="009F381B"/>
    <w:rsid w:val="009F4138"/>
    <w:rsid w:val="009F6DF5"/>
    <w:rsid w:val="00A02980"/>
    <w:rsid w:val="00A04155"/>
    <w:rsid w:val="00A207E0"/>
    <w:rsid w:val="00A21384"/>
    <w:rsid w:val="00A21DA2"/>
    <w:rsid w:val="00A2220D"/>
    <w:rsid w:val="00A22B78"/>
    <w:rsid w:val="00A24755"/>
    <w:rsid w:val="00A25AE5"/>
    <w:rsid w:val="00A3172B"/>
    <w:rsid w:val="00A31F77"/>
    <w:rsid w:val="00A37002"/>
    <w:rsid w:val="00A378F2"/>
    <w:rsid w:val="00A403A7"/>
    <w:rsid w:val="00A43BD2"/>
    <w:rsid w:val="00A57A22"/>
    <w:rsid w:val="00A6146B"/>
    <w:rsid w:val="00A65CC1"/>
    <w:rsid w:val="00A66DC1"/>
    <w:rsid w:val="00A727AC"/>
    <w:rsid w:val="00A82A1B"/>
    <w:rsid w:val="00A85E3F"/>
    <w:rsid w:val="00A86D14"/>
    <w:rsid w:val="00A87CEC"/>
    <w:rsid w:val="00A90C2C"/>
    <w:rsid w:val="00A944CC"/>
    <w:rsid w:val="00A974CF"/>
    <w:rsid w:val="00AA1B0E"/>
    <w:rsid w:val="00AA3F62"/>
    <w:rsid w:val="00AA7E62"/>
    <w:rsid w:val="00AB1FCC"/>
    <w:rsid w:val="00AB4344"/>
    <w:rsid w:val="00AC1EA9"/>
    <w:rsid w:val="00AC5CA7"/>
    <w:rsid w:val="00AC7B11"/>
    <w:rsid w:val="00AD0B30"/>
    <w:rsid w:val="00AD0B84"/>
    <w:rsid w:val="00AD0D13"/>
    <w:rsid w:val="00AD231B"/>
    <w:rsid w:val="00AD4269"/>
    <w:rsid w:val="00AD766A"/>
    <w:rsid w:val="00AD7F31"/>
    <w:rsid w:val="00AE1403"/>
    <w:rsid w:val="00AE56B1"/>
    <w:rsid w:val="00AF08F0"/>
    <w:rsid w:val="00AF1D7A"/>
    <w:rsid w:val="00AF77B3"/>
    <w:rsid w:val="00B02F4D"/>
    <w:rsid w:val="00B033EE"/>
    <w:rsid w:val="00B05C60"/>
    <w:rsid w:val="00B147B9"/>
    <w:rsid w:val="00B15CC3"/>
    <w:rsid w:val="00B16CE5"/>
    <w:rsid w:val="00B21AFC"/>
    <w:rsid w:val="00B3108D"/>
    <w:rsid w:val="00B317E4"/>
    <w:rsid w:val="00B31EA6"/>
    <w:rsid w:val="00B32FF2"/>
    <w:rsid w:val="00B35C59"/>
    <w:rsid w:val="00B3660B"/>
    <w:rsid w:val="00B400EE"/>
    <w:rsid w:val="00B40851"/>
    <w:rsid w:val="00B44D84"/>
    <w:rsid w:val="00B46F7E"/>
    <w:rsid w:val="00B50971"/>
    <w:rsid w:val="00B50CCD"/>
    <w:rsid w:val="00B602EE"/>
    <w:rsid w:val="00B62930"/>
    <w:rsid w:val="00B63000"/>
    <w:rsid w:val="00B64314"/>
    <w:rsid w:val="00B708C6"/>
    <w:rsid w:val="00B717FC"/>
    <w:rsid w:val="00B73862"/>
    <w:rsid w:val="00B802EB"/>
    <w:rsid w:val="00B84165"/>
    <w:rsid w:val="00B85EEB"/>
    <w:rsid w:val="00B86DE0"/>
    <w:rsid w:val="00BA28BB"/>
    <w:rsid w:val="00BA6E48"/>
    <w:rsid w:val="00BA724E"/>
    <w:rsid w:val="00BB43DE"/>
    <w:rsid w:val="00BC30CB"/>
    <w:rsid w:val="00BC58AA"/>
    <w:rsid w:val="00BC6DC5"/>
    <w:rsid w:val="00BD13C4"/>
    <w:rsid w:val="00BD1B32"/>
    <w:rsid w:val="00BE180C"/>
    <w:rsid w:val="00BE1F41"/>
    <w:rsid w:val="00BE7288"/>
    <w:rsid w:val="00BF14F7"/>
    <w:rsid w:val="00BF2218"/>
    <w:rsid w:val="00BF29AC"/>
    <w:rsid w:val="00BF4122"/>
    <w:rsid w:val="00BF66AF"/>
    <w:rsid w:val="00C04263"/>
    <w:rsid w:val="00C042A3"/>
    <w:rsid w:val="00C06BFE"/>
    <w:rsid w:val="00C13466"/>
    <w:rsid w:val="00C36641"/>
    <w:rsid w:val="00C4008B"/>
    <w:rsid w:val="00C40DC4"/>
    <w:rsid w:val="00C41C6F"/>
    <w:rsid w:val="00C47E3D"/>
    <w:rsid w:val="00C51256"/>
    <w:rsid w:val="00C553B3"/>
    <w:rsid w:val="00C55EE8"/>
    <w:rsid w:val="00C63E3D"/>
    <w:rsid w:val="00C65557"/>
    <w:rsid w:val="00C670A3"/>
    <w:rsid w:val="00C7066C"/>
    <w:rsid w:val="00C7290F"/>
    <w:rsid w:val="00C777B1"/>
    <w:rsid w:val="00C819C4"/>
    <w:rsid w:val="00C8322B"/>
    <w:rsid w:val="00C84003"/>
    <w:rsid w:val="00C84FFB"/>
    <w:rsid w:val="00C968F7"/>
    <w:rsid w:val="00CB0146"/>
    <w:rsid w:val="00CB4139"/>
    <w:rsid w:val="00CC0E8F"/>
    <w:rsid w:val="00CC25E9"/>
    <w:rsid w:val="00CC5A27"/>
    <w:rsid w:val="00CD400F"/>
    <w:rsid w:val="00CD4AB4"/>
    <w:rsid w:val="00CD7483"/>
    <w:rsid w:val="00CD7492"/>
    <w:rsid w:val="00CD7844"/>
    <w:rsid w:val="00CE3A6B"/>
    <w:rsid w:val="00CF04C6"/>
    <w:rsid w:val="00CF66B9"/>
    <w:rsid w:val="00D00211"/>
    <w:rsid w:val="00D013FB"/>
    <w:rsid w:val="00D02DEA"/>
    <w:rsid w:val="00D06309"/>
    <w:rsid w:val="00D10B30"/>
    <w:rsid w:val="00D12160"/>
    <w:rsid w:val="00D142FD"/>
    <w:rsid w:val="00D23484"/>
    <w:rsid w:val="00D24AF2"/>
    <w:rsid w:val="00D27872"/>
    <w:rsid w:val="00D351EA"/>
    <w:rsid w:val="00D43403"/>
    <w:rsid w:val="00D454BD"/>
    <w:rsid w:val="00D4583F"/>
    <w:rsid w:val="00D517AC"/>
    <w:rsid w:val="00D532C4"/>
    <w:rsid w:val="00D54ECB"/>
    <w:rsid w:val="00D57F90"/>
    <w:rsid w:val="00D62480"/>
    <w:rsid w:val="00D628DA"/>
    <w:rsid w:val="00D62E71"/>
    <w:rsid w:val="00D719F1"/>
    <w:rsid w:val="00D72282"/>
    <w:rsid w:val="00D740CA"/>
    <w:rsid w:val="00D76C23"/>
    <w:rsid w:val="00D771D9"/>
    <w:rsid w:val="00D80470"/>
    <w:rsid w:val="00D85728"/>
    <w:rsid w:val="00D8615C"/>
    <w:rsid w:val="00D9169D"/>
    <w:rsid w:val="00D92E5D"/>
    <w:rsid w:val="00D93639"/>
    <w:rsid w:val="00DA1387"/>
    <w:rsid w:val="00DA3592"/>
    <w:rsid w:val="00DA60FF"/>
    <w:rsid w:val="00DA7A6A"/>
    <w:rsid w:val="00DA7E8C"/>
    <w:rsid w:val="00DB407A"/>
    <w:rsid w:val="00DB4B1B"/>
    <w:rsid w:val="00DC1212"/>
    <w:rsid w:val="00DC1E72"/>
    <w:rsid w:val="00DC2091"/>
    <w:rsid w:val="00DC73AF"/>
    <w:rsid w:val="00DD001C"/>
    <w:rsid w:val="00DD2BFE"/>
    <w:rsid w:val="00DD555A"/>
    <w:rsid w:val="00DE63BB"/>
    <w:rsid w:val="00DF1042"/>
    <w:rsid w:val="00DF2997"/>
    <w:rsid w:val="00DF7612"/>
    <w:rsid w:val="00DF7A55"/>
    <w:rsid w:val="00E10E90"/>
    <w:rsid w:val="00E32F91"/>
    <w:rsid w:val="00E45BCD"/>
    <w:rsid w:val="00E50AFB"/>
    <w:rsid w:val="00E52431"/>
    <w:rsid w:val="00E5297F"/>
    <w:rsid w:val="00E5325B"/>
    <w:rsid w:val="00E53E4E"/>
    <w:rsid w:val="00E5654C"/>
    <w:rsid w:val="00E606C1"/>
    <w:rsid w:val="00E66C75"/>
    <w:rsid w:val="00E750D5"/>
    <w:rsid w:val="00E75CCA"/>
    <w:rsid w:val="00E85905"/>
    <w:rsid w:val="00E86F3F"/>
    <w:rsid w:val="00E906CE"/>
    <w:rsid w:val="00E91362"/>
    <w:rsid w:val="00E93A15"/>
    <w:rsid w:val="00E93D95"/>
    <w:rsid w:val="00EA1077"/>
    <w:rsid w:val="00EA6CC1"/>
    <w:rsid w:val="00EB298A"/>
    <w:rsid w:val="00EB5E6B"/>
    <w:rsid w:val="00EC0A76"/>
    <w:rsid w:val="00EC24FD"/>
    <w:rsid w:val="00EC3646"/>
    <w:rsid w:val="00EC6563"/>
    <w:rsid w:val="00EC7BC3"/>
    <w:rsid w:val="00EC7D2F"/>
    <w:rsid w:val="00ED03D1"/>
    <w:rsid w:val="00ED07E3"/>
    <w:rsid w:val="00ED2C97"/>
    <w:rsid w:val="00ED7357"/>
    <w:rsid w:val="00ED7600"/>
    <w:rsid w:val="00EE0522"/>
    <w:rsid w:val="00EE1103"/>
    <w:rsid w:val="00EE4AD4"/>
    <w:rsid w:val="00EE4CBF"/>
    <w:rsid w:val="00EE6A59"/>
    <w:rsid w:val="00EF153F"/>
    <w:rsid w:val="00EF2A70"/>
    <w:rsid w:val="00EF63C1"/>
    <w:rsid w:val="00F02615"/>
    <w:rsid w:val="00F0313A"/>
    <w:rsid w:val="00F04098"/>
    <w:rsid w:val="00F0573E"/>
    <w:rsid w:val="00F067FE"/>
    <w:rsid w:val="00F1362C"/>
    <w:rsid w:val="00F14DFA"/>
    <w:rsid w:val="00F15584"/>
    <w:rsid w:val="00F1682C"/>
    <w:rsid w:val="00F1763E"/>
    <w:rsid w:val="00F21CE9"/>
    <w:rsid w:val="00F22B46"/>
    <w:rsid w:val="00F25906"/>
    <w:rsid w:val="00F30C16"/>
    <w:rsid w:val="00F31ADD"/>
    <w:rsid w:val="00F34DF8"/>
    <w:rsid w:val="00F36637"/>
    <w:rsid w:val="00F37BF2"/>
    <w:rsid w:val="00F4066F"/>
    <w:rsid w:val="00F447D0"/>
    <w:rsid w:val="00F45E70"/>
    <w:rsid w:val="00F478D0"/>
    <w:rsid w:val="00F54FD2"/>
    <w:rsid w:val="00F5674C"/>
    <w:rsid w:val="00F57EC5"/>
    <w:rsid w:val="00F60165"/>
    <w:rsid w:val="00F70959"/>
    <w:rsid w:val="00F70A45"/>
    <w:rsid w:val="00F721C9"/>
    <w:rsid w:val="00F72C34"/>
    <w:rsid w:val="00F7376E"/>
    <w:rsid w:val="00F77B66"/>
    <w:rsid w:val="00F8124A"/>
    <w:rsid w:val="00F824F5"/>
    <w:rsid w:val="00F8574D"/>
    <w:rsid w:val="00F85920"/>
    <w:rsid w:val="00F9724B"/>
    <w:rsid w:val="00FA365A"/>
    <w:rsid w:val="00FA7AAF"/>
    <w:rsid w:val="00FB23C8"/>
    <w:rsid w:val="00FB34CC"/>
    <w:rsid w:val="00FB68AA"/>
    <w:rsid w:val="00FC29B9"/>
    <w:rsid w:val="00FC2EC9"/>
    <w:rsid w:val="00FC6FD3"/>
    <w:rsid w:val="00FD1234"/>
    <w:rsid w:val="00FD2427"/>
    <w:rsid w:val="00FD2E51"/>
    <w:rsid w:val="00FD4F6C"/>
    <w:rsid w:val="00FD6180"/>
    <w:rsid w:val="00FE2109"/>
    <w:rsid w:val="00FF415E"/>
    <w:rsid w:val="00FF5956"/>
    <w:rsid w:val="00FF5AB1"/>
    <w:rsid w:val="00FF5DAE"/>
    <w:rsid w:val="1F7307CA"/>
    <w:rsid w:val="361A9440"/>
    <w:rsid w:val="65155529"/>
    <w:rsid w:val="7AA67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9C8F8"/>
  <w15:chartTrackingRefBased/>
  <w15:docId w15:val="{3254AE5F-3CF3-4A6B-91B9-4836AD657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before="240" w:after="120"/>
    </w:pPr>
    <w:rPr>
      <w:rFonts w:asciiTheme="minorHAnsi" w:hAnsiTheme="minorHAnsi"/>
      <w:b/>
      <w:bCs/>
      <w:szCs w:val="20"/>
    </w:rPr>
  </w:style>
  <w:style w:type="paragraph" w:styleId="TOC2">
    <w:name w:val="toc 2"/>
    <w:basedOn w:val="Normal"/>
    <w:next w:val="Normal"/>
    <w:autoRedefine/>
    <w:uiPriority w:val="39"/>
    <w:unhideWhenUsed/>
    <w:rsid w:val="00FC29B9"/>
    <w:pPr>
      <w:spacing w:before="120" w:after="0"/>
      <w:ind w:left="200"/>
    </w:pPr>
    <w:rPr>
      <w:rFonts w:asciiTheme="minorHAnsi" w:hAnsiTheme="minorHAnsi"/>
      <w:i/>
      <w:iCs/>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rsid w:val="00050471"/>
    <w:rPr>
      <w:sz w:val="16"/>
      <w:szCs w:val="16"/>
    </w:rPr>
  </w:style>
  <w:style w:type="paragraph" w:styleId="CommentText">
    <w:name w:val="annotation text"/>
    <w:basedOn w:val="Normal"/>
    <w:link w:val="CommentTextChar"/>
    <w:semiHidden/>
    <w:unhideWhenUsed/>
    <w:rsid w:val="00050471"/>
    <w:pPr>
      <w:spacing w:line="240" w:lineRule="auto"/>
    </w:pPr>
    <w:rPr>
      <w:szCs w:val="20"/>
    </w:rPr>
  </w:style>
  <w:style w:type="character" w:customStyle="1" w:styleId="CommentTextChar">
    <w:name w:val="Comment Text Char"/>
    <w:basedOn w:val="DefaultParagraphFont"/>
    <w:link w:val="CommentText"/>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F5674C"/>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F5674C"/>
  </w:style>
  <w:style w:type="character" w:customStyle="1" w:styleId="eop">
    <w:name w:val="eop"/>
    <w:basedOn w:val="DefaultParagraphFont"/>
    <w:rsid w:val="00F5674C"/>
  </w:style>
  <w:style w:type="paragraph" w:customStyle="1" w:styleId="NO">
    <w:name w:val="NO"/>
    <w:basedOn w:val="Normal"/>
    <w:rsid w:val="0013318C"/>
    <w:pPr>
      <w:keepLines/>
      <w:overflowPunct w:val="0"/>
      <w:autoSpaceDE w:val="0"/>
      <w:autoSpaceDN w:val="0"/>
      <w:adjustRightInd w:val="0"/>
      <w:spacing w:after="180" w:line="240" w:lineRule="auto"/>
      <w:ind w:left="1135" w:hanging="851"/>
      <w:textAlignment w:val="baseline"/>
    </w:pPr>
    <w:rPr>
      <w:rFonts w:cs="Times New Roman"/>
      <w:szCs w:val="20"/>
      <w:lang w:val="en-GB" w:eastAsia="en-GB"/>
    </w:rPr>
  </w:style>
  <w:style w:type="paragraph" w:styleId="TOC3">
    <w:name w:val="toc 3"/>
    <w:basedOn w:val="Normal"/>
    <w:next w:val="Normal"/>
    <w:autoRedefine/>
    <w:uiPriority w:val="39"/>
    <w:unhideWhenUsed/>
    <w:rsid w:val="00547DCB"/>
    <w:pPr>
      <w:spacing w:after="0"/>
      <w:ind w:left="400"/>
    </w:pPr>
    <w:rPr>
      <w:rFonts w:asciiTheme="minorHAnsi" w:hAnsiTheme="minorHAnsi"/>
      <w:szCs w:val="20"/>
    </w:rPr>
  </w:style>
  <w:style w:type="paragraph" w:styleId="TOC4">
    <w:name w:val="toc 4"/>
    <w:basedOn w:val="Normal"/>
    <w:next w:val="Normal"/>
    <w:autoRedefine/>
    <w:uiPriority w:val="39"/>
    <w:unhideWhenUsed/>
    <w:rsid w:val="00547DCB"/>
    <w:pPr>
      <w:spacing w:after="0"/>
      <w:ind w:left="600"/>
    </w:pPr>
    <w:rPr>
      <w:rFonts w:asciiTheme="minorHAnsi" w:hAnsiTheme="minorHAnsi"/>
      <w:szCs w:val="20"/>
    </w:rPr>
  </w:style>
  <w:style w:type="paragraph" w:styleId="TOC5">
    <w:name w:val="toc 5"/>
    <w:basedOn w:val="Normal"/>
    <w:next w:val="Normal"/>
    <w:autoRedefine/>
    <w:uiPriority w:val="39"/>
    <w:unhideWhenUsed/>
    <w:rsid w:val="00547DCB"/>
    <w:pPr>
      <w:spacing w:after="0"/>
      <w:ind w:left="800"/>
    </w:pPr>
    <w:rPr>
      <w:rFonts w:asciiTheme="minorHAnsi" w:hAnsiTheme="minorHAnsi"/>
      <w:szCs w:val="20"/>
    </w:rPr>
  </w:style>
  <w:style w:type="paragraph" w:styleId="TOC6">
    <w:name w:val="toc 6"/>
    <w:basedOn w:val="Normal"/>
    <w:next w:val="Normal"/>
    <w:autoRedefine/>
    <w:uiPriority w:val="39"/>
    <w:unhideWhenUsed/>
    <w:rsid w:val="00547DCB"/>
    <w:pPr>
      <w:spacing w:after="0"/>
      <w:ind w:left="1000"/>
    </w:pPr>
    <w:rPr>
      <w:rFonts w:asciiTheme="minorHAnsi" w:hAnsiTheme="minorHAnsi"/>
      <w:szCs w:val="20"/>
    </w:rPr>
  </w:style>
  <w:style w:type="paragraph" w:styleId="TOC7">
    <w:name w:val="toc 7"/>
    <w:basedOn w:val="Normal"/>
    <w:next w:val="Normal"/>
    <w:autoRedefine/>
    <w:uiPriority w:val="39"/>
    <w:unhideWhenUsed/>
    <w:rsid w:val="00547DCB"/>
    <w:pPr>
      <w:spacing w:after="0"/>
      <w:ind w:left="1200"/>
    </w:pPr>
    <w:rPr>
      <w:rFonts w:asciiTheme="minorHAnsi" w:hAnsiTheme="minorHAnsi"/>
      <w:szCs w:val="20"/>
    </w:rPr>
  </w:style>
  <w:style w:type="paragraph" w:styleId="TOC8">
    <w:name w:val="toc 8"/>
    <w:basedOn w:val="Normal"/>
    <w:next w:val="Normal"/>
    <w:autoRedefine/>
    <w:uiPriority w:val="39"/>
    <w:unhideWhenUsed/>
    <w:rsid w:val="00547DCB"/>
    <w:pPr>
      <w:spacing w:after="0"/>
      <w:ind w:left="1400"/>
    </w:pPr>
    <w:rPr>
      <w:rFonts w:asciiTheme="minorHAnsi" w:hAnsiTheme="minorHAnsi"/>
      <w:szCs w:val="20"/>
    </w:rPr>
  </w:style>
  <w:style w:type="paragraph" w:styleId="TOC9">
    <w:name w:val="toc 9"/>
    <w:basedOn w:val="Normal"/>
    <w:next w:val="Normal"/>
    <w:autoRedefine/>
    <w:uiPriority w:val="39"/>
    <w:unhideWhenUsed/>
    <w:rsid w:val="00547DCB"/>
    <w:pPr>
      <w:spacing w:after="0"/>
      <w:ind w:left="1600"/>
    </w:pPr>
    <w:rPr>
      <w:rFonts w:asciiTheme="minorHAnsi" w:hAnsiTheme="minorHAnsi"/>
      <w:szCs w:val="20"/>
    </w:rPr>
  </w:style>
  <w:style w:type="character" w:customStyle="1" w:styleId="THChar">
    <w:name w:val="TH Char"/>
    <w:link w:val="TH"/>
    <w:qFormat/>
    <w:locked/>
    <w:rsid w:val="00C819C4"/>
    <w:rPr>
      <w:rFonts w:ascii="Arial" w:eastAsia="Times New Roman" w:hAnsi="Arial" w:cs="Arial"/>
      <w:b/>
      <w:lang w:eastAsia="x-none"/>
    </w:rPr>
  </w:style>
  <w:style w:type="paragraph" w:customStyle="1" w:styleId="TH">
    <w:name w:val="TH"/>
    <w:basedOn w:val="Normal"/>
    <w:link w:val="THChar"/>
    <w:qFormat/>
    <w:rsid w:val="00C819C4"/>
    <w:pPr>
      <w:keepNext/>
      <w:keepLines/>
      <w:overflowPunct w:val="0"/>
      <w:autoSpaceDE w:val="0"/>
      <w:autoSpaceDN w:val="0"/>
      <w:adjustRightInd w:val="0"/>
      <w:spacing w:before="60" w:after="180" w:line="240" w:lineRule="auto"/>
      <w:jc w:val="center"/>
    </w:pPr>
    <w:rPr>
      <w:rFonts w:ascii="Arial" w:eastAsia="Times New Roman" w:hAnsi="Arial" w:cs="Arial"/>
      <w:b/>
      <w:sz w:val="22"/>
      <w:lang w:eastAsia="x-none"/>
    </w:rPr>
  </w:style>
  <w:style w:type="paragraph" w:customStyle="1" w:styleId="Default">
    <w:name w:val="Default"/>
    <w:rsid w:val="00C819C4"/>
    <w:pPr>
      <w:autoSpaceDE w:val="0"/>
      <w:autoSpaceDN w:val="0"/>
      <w:adjustRightInd w:val="0"/>
      <w:spacing w:after="0" w:line="240" w:lineRule="auto"/>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DD2BFE"/>
    <w:rPr>
      <w:color w:val="605E5C"/>
      <w:shd w:val="clear" w:color="auto" w:fill="E1DFDD"/>
    </w:rPr>
  </w:style>
  <w:style w:type="character" w:styleId="Mention">
    <w:name w:val="Mention"/>
    <w:basedOn w:val="DefaultParagraphFont"/>
    <w:uiPriority w:val="99"/>
    <w:unhideWhenUsed/>
    <w:rsid w:val="00DD2B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774">
      <w:bodyDiv w:val="1"/>
      <w:marLeft w:val="0"/>
      <w:marRight w:val="0"/>
      <w:marTop w:val="0"/>
      <w:marBottom w:val="0"/>
      <w:divBdr>
        <w:top w:val="none" w:sz="0" w:space="0" w:color="auto"/>
        <w:left w:val="none" w:sz="0" w:space="0" w:color="auto"/>
        <w:bottom w:val="none" w:sz="0" w:space="0" w:color="auto"/>
        <w:right w:val="none" w:sz="0" w:space="0" w:color="auto"/>
      </w:divBdr>
    </w:div>
    <w:div w:id="143546333">
      <w:bodyDiv w:val="1"/>
      <w:marLeft w:val="0"/>
      <w:marRight w:val="0"/>
      <w:marTop w:val="0"/>
      <w:marBottom w:val="0"/>
      <w:divBdr>
        <w:top w:val="none" w:sz="0" w:space="0" w:color="auto"/>
        <w:left w:val="none" w:sz="0" w:space="0" w:color="auto"/>
        <w:bottom w:val="none" w:sz="0" w:space="0" w:color="auto"/>
        <w:right w:val="none" w:sz="0" w:space="0" w:color="auto"/>
      </w:divBdr>
    </w:div>
    <w:div w:id="333186003">
      <w:bodyDiv w:val="1"/>
      <w:marLeft w:val="0"/>
      <w:marRight w:val="0"/>
      <w:marTop w:val="0"/>
      <w:marBottom w:val="0"/>
      <w:divBdr>
        <w:top w:val="none" w:sz="0" w:space="0" w:color="auto"/>
        <w:left w:val="none" w:sz="0" w:space="0" w:color="auto"/>
        <w:bottom w:val="none" w:sz="0" w:space="0" w:color="auto"/>
        <w:right w:val="none" w:sz="0" w:space="0" w:color="auto"/>
      </w:divBdr>
    </w:div>
    <w:div w:id="398134100">
      <w:bodyDiv w:val="1"/>
      <w:marLeft w:val="0"/>
      <w:marRight w:val="0"/>
      <w:marTop w:val="0"/>
      <w:marBottom w:val="0"/>
      <w:divBdr>
        <w:top w:val="none" w:sz="0" w:space="0" w:color="auto"/>
        <w:left w:val="none" w:sz="0" w:space="0" w:color="auto"/>
        <w:bottom w:val="none" w:sz="0" w:space="0" w:color="auto"/>
        <w:right w:val="none" w:sz="0" w:space="0" w:color="auto"/>
      </w:divBdr>
      <w:divsChild>
        <w:div w:id="299073269">
          <w:marLeft w:val="0"/>
          <w:marRight w:val="0"/>
          <w:marTop w:val="0"/>
          <w:marBottom w:val="0"/>
          <w:divBdr>
            <w:top w:val="none" w:sz="0" w:space="0" w:color="auto"/>
            <w:left w:val="none" w:sz="0" w:space="0" w:color="auto"/>
            <w:bottom w:val="none" w:sz="0" w:space="0" w:color="auto"/>
            <w:right w:val="none" w:sz="0" w:space="0" w:color="auto"/>
          </w:divBdr>
        </w:div>
        <w:div w:id="522981728">
          <w:marLeft w:val="0"/>
          <w:marRight w:val="0"/>
          <w:marTop w:val="0"/>
          <w:marBottom w:val="0"/>
          <w:divBdr>
            <w:top w:val="none" w:sz="0" w:space="0" w:color="auto"/>
            <w:left w:val="none" w:sz="0" w:space="0" w:color="auto"/>
            <w:bottom w:val="none" w:sz="0" w:space="0" w:color="auto"/>
            <w:right w:val="none" w:sz="0" w:space="0" w:color="auto"/>
          </w:divBdr>
        </w:div>
        <w:div w:id="636296562">
          <w:marLeft w:val="0"/>
          <w:marRight w:val="0"/>
          <w:marTop w:val="0"/>
          <w:marBottom w:val="0"/>
          <w:divBdr>
            <w:top w:val="none" w:sz="0" w:space="0" w:color="auto"/>
            <w:left w:val="none" w:sz="0" w:space="0" w:color="auto"/>
            <w:bottom w:val="none" w:sz="0" w:space="0" w:color="auto"/>
            <w:right w:val="none" w:sz="0" w:space="0" w:color="auto"/>
          </w:divBdr>
        </w:div>
        <w:div w:id="747649769">
          <w:marLeft w:val="0"/>
          <w:marRight w:val="0"/>
          <w:marTop w:val="0"/>
          <w:marBottom w:val="0"/>
          <w:divBdr>
            <w:top w:val="none" w:sz="0" w:space="0" w:color="auto"/>
            <w:left w:val="none" w:sz="0" w:space="0" w:color="auto"/>
            <w:bottom w:val="none" w:sz="0" w:space="0" w:color="auto"/>
            <w:right w:val="none" w:sz="0" w:space="0" w:color="auto"/>
          </w:divBdr>
        </w:div>
      </w:divsChild>
    </w:div>
    <w:div w:id="637611698">
      <w:bodyDiv w:val="1"/>
      <w:marLeft w:val="0"/>
      <w:marRight w:val="0"/>
      <w:marTop w:val="0"/>
      <w:marBottom w:val="0"/>
      <w:divBdr>
        <w:top w:val="none" w:sz="0" w:space="0" w:color="auto"/>
        <w:left w:val="none" w:sz="0" w:space="0" w:color="auto"/>
        <w:bottom w:val="none" w:sz="0" w:space="0" w:color="auto"/>
        <w:right w:val="none" w:sz="0" w:space="0" w:color="auto"/>
      </w:divBdr>
      <w:divsChild>
        <w:div w:id="467281522">
          <w:marLeft w:val="547"/>
          <w:marRight w:val="0"/>
          <w:marTop w:val="0"/>
          <w:marBottom w:val="0"/>
          <w:divBdr>
            <w:top w:val="none" w:sz="0" w:space="0" w:color="auto"/>
            <w:left w:val="none" w:sz="0" w:space="0" w:color="auto"/>
            <w:bottom w:val="none" w:sz="0" w:space="0" w:color="auto"/>
            <w:right w:val="none" w:sz="0" w:space="0" w:color="auto"/>
          </w:divBdr>
        </w:div>
        <w:div w:id="1314985639">
          <w:marLeft w:val="1166"/>
          <w:marRight w:val="0"/>
          <w:marTop w:val="0"/>
          <w:marBottom w:val="0"/>
          <w:divBdr>
            <w:top w:val="none" w:sz="0" w:space="0" w:color="auto"/>
            <w:left w:val="none" w:sz="0" w:space="0" w:color="auto"/>
            <w:bottom w:val="none" w:sz="0" w:space="0" w:color="auto"/>
            <w:right w:val="none" w:sz="0" w:space="0" w:color="auto"/>
          </w:divBdr>
        </w:div>
      </w:divsChild>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771626854">
      <w:bodyDiv w:val="1"/>
      <w:marLeft w:val="0"/>
      <w:marRight w:val="0"/>
      <w:marTop w:val="0"/>
      <w:marBottom w:val="0"/>
      <w:divBdr>
        <w:top w:val="none" w:sz="0" w:space="0" w:color="auto"/>
        <w:left w:val="none" w:sz="0" w:space="0" w:color="auto"/>
        <w:bottom w:val="none" w:sz="0" w:space="0" w:color="auto"/>
        <w:right w:val="none" w:sz="0" w:space="0" w:color="auto"/>
      </w:divBdr>
      <w:divsChild>
        <w:div w:id="13532369">
          <w:marLeft w:val="547"/>
          <w:marRight w:val="0"/>
          <w:marTop w:val="96"/>
          <w:marBottom w:val="0"/>
          <w:divBdr>
            <w:top w:val="none" w:sz="0" w:space="0" w:color="auto"/>
            <w:left w:val="none" w:sz="0" w:space="0" w:color="auto"/>
            <w:bottom w:val="none" w:sz="0" w:space="0" w:color="auto"/>
            <w:right w:val="none" w:sz="0" w:space="0" w:color="auto"/>
          </w:divBdr>
        </w:div>
        <w:div w:id="161169522">
          <w:marLeft w:val="1166"/>
          <w:marRight w:val="0"/>
          <w:marTop w:val="86"/>
          <w:marBottom w:val="0"/>
          <w:divBdr>
            <w:top w:val="none" w:sz="0" w:space="0" w:color="auto"/>
            <w:left w:val="none" w:sz="0" w:space="0" w:color="auto"/>
            <w:bottom w:val="none" w:sz="0" w:space="0" w:color="auto"/>
            <w:right w:val="none" w:sz="0" w:space="0" w:color="auto"/>
          </w:divBdr>
        </w:div>
        <w:div w:id="296882422">
          <w:marLeft w:val="547"/>
          <w:marRight w:val="0"/>
          <w:marTop w:val="96"/>
          <w:marBottom w:val="0"/>
          <w:divBdr>
            <w:top w:val="none" w:sz="0" w:space="0" w:color="auto"/>
            <w:left w:val="none" w:sz="0" w:space="0" w:color="auto"/>
            <w:bottom w:val="none" w:sz="0" w:space="0" w:color="auto"/>
            <w:right w:val="none" w:sz="0" w:space="0" w:color="auto"/>
          </w:divBdr>
        </w:div>
        <w:div w:id="604464446">
          <w:marLeft w:val="1166"/>
          <w:marRight w:val="0"/>
          <w:marTop w:val="86"/>
          <w:marBottom w:val="0"/>
          <w:divBdr>
            <w:top w:val="none" w:sz="0" w:space="0" w:color="auto"/>
            <w:left w:val="none" w:sz="0" w:space="0" w:color="auto"/>
            <w:bottom w:val="none" w:sz="0" w:space="0" w:color="auto"/>
            <w:right w:val="none" w:sz="0" w:space="0" w:color="auto"/>
          </w:divBdr>
        </w:div>
        <w:div w:id="753819684">
          <w:marLeft w:val="1166"/>
          <w:marRight w:val="0"/>
          <w:marTop w:val="86"/>
          <w:marBottom w:val="0"/>
          <w:divBdr>
            <w:top w:val="none" w:sz="0" w:space="0" w:color="auto"/>
            <w:left w:val="none" w:sz="0" w:space="0" w:color="auto"/>
            <w:bottom w:val="none" w:sz="0" w:space="0" w:color="auto"/>
            <w:right w:val="none" w:sz="0" w:space="0" w:color="auto"/>
          </w:divBdr>
        </w:div>
        <w:div w:id="1223104965">
          <w:marLeft w:val="547"/>
          <w:marRight w:val="0"/>
          <w:marTop w:val="96"/>
          <w:marBottom w:val="0"/>
          <w:divBdr>
            <w:top w:val="none" w:sz="0" w:space="0" w:color="auto"/>
            <w:left w:val="none" w:sz="0" w:space="0" w:color="auto"/>
            <w:bottom w:val="none" w:sz="0" w:space="0" w:color="auto"/>
            <w:right w:val="none" w:sz="0" w:space="0" w:color="auto"/>
          </w:divBdr>
        </w:div>
        <w:div w:id="1593053567">
          <w:marLeft w:val="547"/>
          <w:marRight w:val="0"/>
          <w:marTop w:val="96"/>
          <w:marBottom w:val="0"/>
          <w:divBdr>
            <w:top w:val="none" w:sz="0" w:space="0" w:color="auto"/>
            <w:left w:val="none" w:sz="0" w:space="0" w:color="auto"/>
            <w:bottom w:val="none" w:sz="0" w:space="0" w:color="auto"/>
            <w:right w:val="none" w:sz="0" w:space="0" w:color="auto"/>
          </w:divBdr>
        </w:div>
        <w:div w:id="1617253450">
          <w:marLeft w:val="1166"/>
          <w:marRight w:val="0"/>
          <w:marTop w:val="86"/>
          <w:marBottom w:val="0"/>
          <w:divBdr>
            <w:top w:val="none" w:sz="0" w:space="0" w:color="auto"/>
            <w:left w:val="none" w:sz="0" w:space="0" w:color="auto"/>
            <w:bottom w:val="none" w:sz="0" w:space="0" w:color="auto"/>
            <w:right w:val="none" w:sz="0" w:space="0" w:color="auto"/>
          </w:divBdr>
        </w:div>
        <w:div w:id="1627201062">
          <w:marLeft w:val="1166"/>
          <w:marRight w:val="0"/>
          <w:marTop w:val="86"/>
          <w:marBottom w:val="0"/>
          <w:divBdr>
            <w:top w:val="none" w:sz="0" w:space="0" w:color="auto"/>
            <w:left w:val="none" w:sz="0" w:space="0" w:color="auto"/>
            <w:bottom w:val="none" w:sz="0" w:space="0" w:color="auto"/>
            <w:right w:val="none" w:sz="0" w:space="0" w:color="auto"/>
          </w:divBdr>
        </w:div>
        <w:div w:id="1643971976">
          <w:marLeft w:val="1166"/>
          <w:marRight w:val="0"/>
          <w:marTop w:val="86"/>
          <w:marBottom w:val="0"/>
          <w:divBdr>
            <w:top w:val="none" w:sz="0" w:space="0" w:color="auto"/>
            <w:left w:val="none" w:sz="0" w:space="0" w:color="auto"/>
            <w:bottom w:val="none" w:sz="0" w:space="0" w:color="auto"/>
            <w:right w:val="none" w:sz="0" w:space="0" w:color="auto"/>
          </w:divBdr>
        </w:div>
      </w:divsChild>
    </w:div>
    <w:div w:id="785738996">
      <w:bodyDiv w:val="1"/>
      <w:marLeft w:val="0"/>
      <w:marRight w:val="0"/>
      <w:marTop w:val="0"/>
      <w:marBottom w:val="0"/>
      <w:divBdr>
        <w:top w:val="none" w:sz="0" w:space="0" w:color="auto"/>
        <w:left w:val="none" w:sz="0" w:space="0" w:color="auto"/>
        <w:bottom w:val="none" w:sz="0" w:space="0" w:color="auto"/>
        <w:right w:val="none" w:sz="0" w:space="0" w:color="auto"/>
      </w:divBdr>
    </w:div>
    <w:div w:id="805271661">
      <w:bodyDiv w:val="1"/>
      <w:marLeft w:val="0"/>
      <w:marRight w:val="0"/>
      <w:marTop w:val="0"/>
      <w:marBottom w:val="0"/>
      <w:divBdr>
        <w:top w:val="none" w:sz="0" w:space="0" w:color="auto"/>
        <w:left w:val="none" w:sz="0" w:space="0" w:color="auto"/>
        <w:bottom w:val="none" w:sz="0" w:space="0" w:color="auto"/>
        <w:right w:val="none" w:sz="0" w:space="0" w:color="auto"/>
      </w:divBdr>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979841098">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179390687">
      <w:bodyDiv w:val="1"/>
      <w:marLeft w:val="0"/>
      <w:marRight w:val="0"/>
      <w:marTop w:val="0"/>
      <w:marBottom w:val="0"/>
      <w:divBdr>
        <w:top w:val="none" w:sz="0" w:space="0" w:color="auto"/>
        <w:left w:val="none" w:sz="0" w:space="0" w:color="auto"/>
        <w:bottom w:val="none" w:sz="0" w:space="0" w:color="auto"/>
        <w:right w:val="none" w:sz="0" w:space="0" w:color="auto"/>
      </w:divBdr>
      <w:divsChild>
        <w:div w:id="129253803">
          <w:marLeft w:val="1166"/>
          <w:marRight w:val="0"/>
          <w:marTop w:val="0"/>
          <w:marBottom w:val="0"/>
          <w:divBdr>
            <w:top w:val="none" w:sz="0" w:space="0" w:color="auto"/>
            <w:left w:val="none" w:sz="0" w:space="0" w:color="auto"/>
            <w:bottom w:val="none" w:sz="0" w:space="0" w:color="auto"/>
            <w:right w:val="none" w:sz="0" w:space="0" w:color="auto"/>
          </w:divBdr>
        </w:div>
        <w:div w:id="1477186437">
          <w:marLeft w:val="547"/>
          <w:marRight w:val="0"/>
          <w:marTop w:val="0"/>
          <w:marBottom w:val="0"/>
          <w:divBdr>
            <w:top w:val="none" w:sz="0" w:space="0" w:color="auto"/>
            <w:left w:val="none" w:sz="0" w:space="0" w:color="auto"/>
            <w:bottom w:val="none" w:sz="0" w:space="0" w:color="auto"/>
            <w:right w:val="none" w:sz="0" w:space="0" w:color="auto"/>
          </w:divBdr>
        </w:div>
      </w:divsChild>
    </w:div>
    <w:div w:id="1198852109">
      <w:bodyDiv w:val="1"/>
      <w:marLeft w:val="0"/>
      <w:marRight w:val="0"/>
      <w:marTop w:val="0"/>
      <w:marBottom w:val="0"/>
      <w:divBdr>
        <w:top w:val="none" w:sz="0" w:space="0" w:color="auto"/>
        <w:left w:val="none" w:sz="0" w:space="0" w:color="auto"/>
        <w:bottom w:val="none" w:sz="0" w:space="0" w:color="auto"/>
        <w:right w:val="none" w:sz="0" w:space="0" w:color="auto"/>
      </w:divBdr>
      <w:divsChild>
        <w:div w:id="173881358">
          <w:marLeft w:val="1166"/>
          <w:marRight w:val="0"/>
          <w:marTop w:val="77"/>
          <w:marBottom w:val="0"/>
          <w:divBdr>
            <w:top w:val="none" w:sz="0" w:space="0" w:color="auto"/>
            <w:left w:val="none" w:sz="0" w:space="0" w:color="auto"/>
            <w:bottom w:val="none" w:sz="0" w:space="0" w:color="auto"/>
            <w:right w:val="none" w:sz="0" w:space="0" w:color="auto"/>
          </w:divBdr>
        </w:div>
        <w:div w:id="241724371">
          <w:marLeft w:val="1166"/>
          <w:marRight w:val="0"/>
          <w:marTop w:val="77"/>
          <w:marBottom w:val="0"/>
          <w:divBdr>
            <w:top w:val="none" w:sz="0" w:space="0" w:color="auto"/>
            <w:left w:val="none" w:sz="0" w:space="0" w:color="auto"/>
            <w:bottom w:val="none" w:sz="0" w:space="0" w:color="auto"/>
            <w:right w:val="none" w:sz="0" w:space="0" w:color="auto"/>
          </w:divBdr>
        </w:div>
        <w:div w:id="520822213">
          <w:marLeft w:val="1166"/>
          <w:marRight w:val="0"/>
          <w:marTop w:val="77"/>
          <w:marBottom w:val="0"/>
          <w:divBdr>
            <w:top w:val="none" w:sz="0" w:space="0" w:color="auto"/>
            <w:left w:val="none" w:sz="0" w:space="0" w:color="auto"/>
            <w:bottom w:val="none" w:sz="0" w:space="0" w:color="auto"/>
            <w:right w:val="none" w:sz="0" w:space="0" w:color="auto"/>
          </w:divBdr>
        </w:div>
        <w:div w:id="986469669">
          <w:marLeft w:val="547"/>
          <w:marRight w:val="0"/>
          <w:marTop w:val="96"/>
          <w:marBottom w:val="0"/>
          <w:divBdr>
            <w:top w:val="none" w:sz="0" w:space="0" w:color="auto"/>
            <w:left w:val="none" w:sz="0" w:space="0" w:color="auto"/>
            <w:bottom w:val="none" w:sz="0" w:space="0" w:color="auto"/>
            <w:right w:val="none" w:sz="0" w:space="0" w:color="auto"/>
          </w:divBdr>
        </w:div>
        <w:div w:id="1187329278">
          <w:marLeft w:val="1166"/>
          <w:marRight w:val="0"/>
          <w:marTop w:val="86"/>
          <w:marBottom w:val="0"/>
          <w:divBdr>
            <w:top w:val="none" w:sz="0" w:space="0" w:color="auto"/>
            <w:left w:val="none" w:sz="0" w:space="0" w:color="auto"/>
            <w:bottom w:val="none" w:sz="0" w:space="0" w:color="auto"/>
            <w:right w:val="none" w:sz="0" w:space="0" w:color="auto"/>
          </w:divBdr>
        </w:div>
        <w:div w:id="1256667368">
          <w:marLeft w:val="1166"/>
          <w:marRight w:val="0"/>
          <w:marTop w:val="77"/>
          <w:marBottom w:val="0"/>
          <w:divBdr>
            <w:top w:val="none" w:sz="0" w:space="0" w:color="auto"/>
            <w:left w:val="none" w:sz="0" w:space="0" w:color="auto"/>
            <w:bottom w:val="none" w:sz="0" w:space="0" w:color="auto"/>
            <w:right w:val="none" w:sz="0" w:space="0" w:color="auto"/>
          </w:divBdr>
        </w:div>
        <w:div w:id="1277373798">
          <w:marLeft w:val="1166"/>
          <w:marRight w:val="0"/>
          <w:marTop w:val="77"/>
          <w:marBottom w:val="0"/>
          <w:divBdr>
            <w:top w:val="none" w:sz="0" w:space="0" w:color="auto"/>
            <w:left w:val="none" w:sz="0" w:space="0" w:color="auto"/>
            <w:bottom w:val="none" w:sz="0" w:space="0" w:color="auto"/>
            <w:right w:val="none" w:sz="0" w:space="0" w:color="auto"/>
          </w:divBdr>
        </w:div>
        <w:div w:id="1559512234">
          <w:marLeft w:val="547"/>
          <w:marRight w:val="0"/>
          <w:marTop w:val="96"/>
          <w:marBottom w:val="0"/>
          <w:divBdr>
            <w:top w:val="none" w:sz="0" w:space="0" w:color="auto"/>
            <w:left w:val="none" w:sz="0" w:space="0" w:color="auto"/>
            <w:bottom w:val="none" w:sz="0" w:space="0" w:color="auto"/>
            <w:right w:val="none" w:sz="0" w:space="0" w:color="auto"/>
          </w:divBdr>
        </w:div>
        <w:div w:id="1647318235">
          <w:marLeft w:val="1166"/>
          <w:marRight w:val="0"/>
          <w:marTop w:val="77"/>
          <w:marBottom w:val="0"/>
          <w:divBdr>
            <w:top w:val="none" w:sz="0" w:space="0" w:color="auto"/>
            <w:left w:val="none" w:sz="0" w:space="0" w:color="auto"/>
            <w:bottom w:val="none" w:sz="0" w:space="0" w:color="auto"/>
            <w:right w:val="none" w:sz="0" w:space="0" w:color="auto"/>
          </w:divBdr>
        </w:div>
        <w:div w:id="1975794229">
          <w:marLeft w:val="547"/>
          <w:marRight w:val="0"/>
          <w:marTop w:val="96"/>
          <w:marBottom w:val="0"/>
          <w:divBdr>
            <w:top w:val="none" w:sz="0" w:space="0" w:color="auto"/>
            <w:left w:val="none" w:sz="0" w:space="0" w:color="auto"/>
            <w:bottom w:val="none" w:sz="0" w:space="0" w:color="auto"/>
            <w:right w:val="none" w:sz="0" w:space="0" w:color="auto"/>
          </w:divBdr>
        </w:div>
      </w:divsChild>
    </w:div>
    <w:div w:id="1224826057">
      <w:bodyDiv w:val="1"/>
      <w:marLeft w:val="0"/>
      <w:marRight w:val="0"/>
      <w:marTop w:val="0"/>
      <w:marBottom w:val="0"/>
      <w:divBdr>
        <w:top w:val="none" w:sz="0" w:space="0" w:color="auto"/>
        <w:left w:val="none" w:sz="0" w:space="0" w:color="auto"/>
        <w:bottom w:val="none" w:sz="0" w:space="0" w:color="auto"/>
        <w:right w:val="none" w:sz="0" w:space="0" w:color="auto"/>
      </w:divBdr>
    </w:div>
    <w:div w:id="1541356288">
      <w:bodyDiv w:val="1"/>
      <w:marLeft w:val="0"/>
      <w:marRight w:val="0"/>
      <w:marTop w:val="0"/>
      <w:marBottom w:val="0"/>
      <w:divBdr>
        <w:top w:val="none" w:sz="0" w:space="0" w:color="auto"/>
        <w:left w:val="none" w:sz="0" w:space="0" w:color="auto"/>
        <w:bottom w:val="none" w:sz="0" w:space="0" w:color="auto"/>
        <w:right w:val="none" w:sz="0" w:space="0" w:color="auto"/>
      </w:divBdr>
    </w:div>
    <w:div w:id="1587686093">
      <w:bodyDiv w:val="1"/>
      <w:marLeft w:val="0"/>
      <w:marRight w:val="0"/>
      <w:marTop w:val="0"/>
      <w:marBottom w:val="0"/>
      <w:divBdr>
        <w:top w:val="none" w:sz="0" w:space="0" w:color="auto"/>
        <w:left w:val="none" w:sz="0" w:space="0" w:color="auto"/>
        <w:bottom w:val="none" w:sz="0" w:space="0" w:color="auto"/>
        <w:right w:val="none" w:sz="0" w:space="0" w:color="auto"/>
      </w:divBdr>
      <w:divsChild>
        <w:div w:id="1682850751">
          <w:marLeft w:val="547"/>
          <w:marRight w:val="0"/>
          <w:marTop w:val="0"/>
          <w:marBottom w:val="0"/>
          <w:divBdr>
            <w:top w:val="none" w:sz="0" w:space="0" w:color="auto"/>
            <w:left w:val="none" w:sz="0" w:space="0" w:color="auto"/>
            <w:bottom w:val="none" w:sz="0" w:space="0" w:color="auto"/>
            <w:right w:val="none" w:sz="0" w:space="0" w:color="auto"/>
          </w:divBdr>
        </w:div>
        <w:div w:id="1728797771">
          <w:marLeft w:val="1166"/>
          <w:marRight w:val="0"/>
          <w:marTop w:val="0"/>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741369106">
      <w:bodyDiv w:val="1"/>
      <w:marLeft w:val="0"/>
      <w:marRight w:val="0"/>
      <w:marTop w:val="0"/>
      <w:marBottom w:val="0"/>
      <w:divBdr>
        <w:top w:val="none" w:sz="0" w:space="0" w:color="auto"/>
        <w:left w:val="none" w:sz="0" w:space="0" w:color="auto"/>
        <w:bottom w:val="none" w:sz="0" w:space="0" w:color="auto"/>
        <w:right w:val="none" w:sz="0" w:space="0" w:color="auto"/>
      </w:divBdr>
    </w:div>
    <w:div w:id="1897348415">
      <w:bodyDiv w:val="1"/>
      <w:marLeft w:val="0"/>
      <w:marRight w:val="0"/>
      <w:marTop w:val="0"/>
      <w:marBottom w:val="0"/>
      <w:divBdr>
        <w:top w:val="none" w:sz="0" w:space="0" w:color="auto"/>
        <w:left w:val="none" w:sz="0" w:space="0" w:color="auto"/>
        <w:bottom w:val="none" w:sz="0" w:space="0" w:color="auto"/>
        <w:right w:val="none" w:sz="0" w:space="0" w:color="auto"/>
      </w:divBdr>
    </w:div>
    <w:div w:id="1932347280">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203295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5AIRPNAIUNRU-1328258698-1101</_dlc_DocId>
    <_dlc_DocIdUrl xmlns="71c5aaf6-e6ce-465b-b873-5148d2a4c105">
      <Url>https://nokia.sharepoint.com/sites/c5g/5gradio/_layouts/15/DocIdRedir.aspx?ID=5AIRPNAIUNRU-1328258698-1101</Url>
      <Description>5AIRPNAIUNRU-1328258698-1101</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2.xml><?xml version="1.0" encoding="utf-8"?>
<ds:datastoreItem xmlns:ds="http://schemas.openxmlformats.org/officeDocument/2006/customXml" ds:itemID="{2FC7C25C-C7BB-4BC1-9843-9037D2A2135A}">
  <ds:schemaRefs>
    <ds:schemaRef ds:uri="http://schemas.microsoft.com/sharepoint/events"/>
  </ds:schemaRefs>
</ds:datastoreItem>
</file>

<file path=customXml/itemProps3.xml><?xml version="1.0" encoding="utf-8"?>
<ds:datastoreItem xmlns:ds="http://schemas.openxmlformats.org/officeDocument/2006/customXml" ds:itemID="{4DD56D4C-7222-46AC-A9AE-927A17860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5.xml><?xml version="1.0" encoding="utf-8"?>
<ds:datastoreItem xmlns:ds="http://schemas.openxmlformats.org/officeDocument/2006/customXml" ds:itemID="{AC35291E-F749-4848-B780-6C120044C31B}">
  <ds:schemaRefs>
    <ds:schemaRef ds:uri="http://purl.org/dc/terms/"/>
    <ds:schemaRef ds:uri="0b6aed8e-0313-4d17-80ff-d0e5da4931c5"/>
    <ds:schemaRef ds:uri="http://schemas.microsoft.com/office/2006/documentManagement/types"/>
    <ds:schemaRef ds:uri="http://www.w3.org/XML/1998/namespace"/>
    <ds:schemaRef ds:uri="71c5aaf6-e6ce-465b-b873-5148d2a4c105"/>
    <ds:schemaRef ds:uri="http://schemas.microsoft.com/office/infopath/2007/PartnerControls"/>
    <ds:schemaRef ds:uri="http://purl.org/dc/dcmitype/"/>
    <ds:schemaRef ds:uri="3b34c8f0-1ef5-4d1e-bb66-517ce7fe7356"/>
    <ds:schemaRef ds:uri="http://schemas.openxmlformats.org/package/2006/metadata/core-properties"/>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CB4A7ACE-3C0C-4EB9-AD60-F091D44E3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1750</Words>
  <Characters>10681</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(Erika)</cp:lastModifiedBy>
  <cp:revision>10</cp:revision>
  <dcterms:created xsi:type="dcterms:W3CDTF">2020-10-19T08:40:00Z</dcterms:created>
  <dcterms:modified xsi:type="dcterms:W3CDTF">2020-10-23T11:29:00Z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b3c03e68-942a-4573-a184-c931dc4f5b3c</vt:lpwstr>
  </property>
</Properties>
</file>